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4CA4" w14:textId="623C2C5F" w:rsidR="00A624E6" w:rsidRPr="0037457B" w:rsidRDefault="0002141B" w:rsidP="0037457B">
      <w:pPr>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br/>
      </w:r>
      <w:r w:rsidR="007515F7" w:rsidRPr="0037457B">
        <w:rPr>
          <w:rFonts w:ascii="Times New Roman" w:hAnsi="Times New Roman" w:cs="Times New Roman"/>
          <w:b/>
          <w:bCs/>
          <w:sz w:val="28"/>
          <w:szCs w:val="28"/>
          <w:lang w:val="de-DE"/>
        </w:rPr>
        <w:t xml:space="preserve">Die Fachgebiete der </w:t>
      </w:r>
      <w:proofErr w:type="spellStart"/>
      <w:r w:rsidR="007515F7" w:rsidRPr="0037457B">
        <w:rPr>
          <w:rFonts w:ascii="Times New Roman" w:hAnsi="Times New Roman" w:cs="Times New Roman"/>
          <w:b/>
          <w:bCs/>
          <w:sz w:val="28"/>
          <w:szCs w:val="28"/>
          <w:lang w:val="de-DE"/>
        </w:rPr>
        <w:t>Balzan</w:t>
      </w:r>
      <w:proofErr w:type="spellEnd"/>
      <w:r w:rsidR="007515F7" w:rsidRPr="0037457B">
        <w:rPr>
          <w:rFonts w:ascii="Times New Roman" w:hAnsi="Times New Roman" w:cs="Times New Roman"/>
          <w:b/>
          <w:bCs/>
          <w:sz w:val="28"/>
          <w:szCs w:val="28"/>
          <w:lang w:val="de-DE"/>
        </w:rPr>
        <w:t xml:space="preserve"> Preise 2024</w:t>
      </w:r>
    </w:p>
    <w:p w14:paraId="063BE2FC" w14:textId="77777777" w:rsidR="00A624E6" w:rsidRPr="0037457B" w:rsidRDefault="00A624E6" w:rsidP="0037457B">
      <w:pPr>
        <w:jc w:val="center"/>
        <w:rPr>
          <w:rFonts w:ascii="Times New Roman" w:hAnsi="Times New Roman" w:cs="Times New Roman"/>
          <w:b/>
          <w:bCs/>
          <w:lang w:val="de-DE"/>
        </w:rPr>
      </w:pPr>
    </w:p>
    <w:p w14:paraId="427F81E3" w14:textId="17E0DA20" w:rsidR="00A624E6" w:rsidRDefault="007515F7" w:rsidP="0037457B">
      <w:pPr>
        <w:jc w:val="center"/>
        <w:rPr>
          <w:rFonts w:ascii="Times New Roman" w:hAnsi="Times New Roman" w:cs="Times New Roman"/>
          <w:i/>
          <w:iCs/>
          <w:sz w:val="28"/>
          <w:szCs w:val="28"/>
          <w:lang w:val="de-DE"/>
        </w:rPr>
      </w:pPr>
      <w:r w:rsidRPr="0037457B">
        <w:rPr>
          <w:rFonts w:ascii="Times New Roman" w:hAnsi="Times New Roman" w:cs="Times New Roman"/>
          <w:i/>
          <w:iCs/>
          <w:sz w:val="28"/>
          <w:szCs w:val="28"/>
          <w:lang w:val="de-DE"/>
        </w:rPr>
        <w:t>Bereich Geistes- wie Sozialwissenschaften und Kunst</w:t>
      </w:r>
    </w:p>
    <w:p w14:paraId="5B9970BC" w14:textId="77777777" w:rsidR="00CC2F97" w:rsidRPr="0037457B" w:rsidRDefault="00CC2F97" w:rsidP="0037457B">
      <w:pPr>
        <w:jc w:val="center"/>
        <w:rPr>
          <w:rFonts w:ascii="Times New Roman" w:hAnsi="Times New Roman" w:cs="Times New Roman"/>
          <w:i/>
          <w:iCs/>
          <w:sz w:val="28"/>
          <w:szCs w:val="28"/>
          <w:lang w:val="de-DE"/>
        </w:rPr>
      </w:pPr>
    </w:p>
    <w:p w14:paraId="30A6BEFA" w14:textId="77777777" w:rsidR="00A624E6" w:rsidRPr="0037457B" w:rsidRDefault="00A624E6" w:rsidP="0037457B">
      <w:pPr>
        <w:jc w:val="both"/>
        <w:rPr>
          <w:rFonts w:ascii="Times New Roman" w:hAnsi="Times New Roman" w:cs="Times New Roman"/>
          <w:lang w:val="de-DE"/>
        </w:rPr>
      </w:pPr>
    </w:p>
    <w:p w14:paraId="1358D477" w14:textId="77777777" w:rsidR="00A624E6" w:rsidRPr="0037457B" w:rsidRDefault="00A624E6" w:rsidP="0037457B">
      <w:pPr>
        <w:jc w:val="both"/>
        <w:rPr>
          <w:rFonts w:ascii="Times New Roman" w:hAnsi="Times New Roman" w:cs="Times New Roman"/>
          <w:b/>
          <w:bCs/>
          <w:lang w:val="de-DE"/>
        </w:rPr>
      </w:pPr>
      <w:r w:rsidRPr="0037457B">
        <w:rPr>
          <w:rFonts w:ascii="Times New Roman" w:hAnsi="Times New Roman" w:cs="Times New Roman"/>
          <w:b/>
          <w:bCs/>
          <w:lang w:val="de-DE"/>
        </w:rPr>
        <w:t>Restaurative Justiz</w:t>
      </w:r>
    </w:p>
    <w:p w14:paraId="51DB89A2" w14:textId="77777777" w:rsidR="00A624E6" w:rsidRPr="0037457B" w:rsidRDefault="00A624E6" w:rsidP="0037457B">
      <w:pPr>
        <w:jc w:val="both"/>
        <w:rPr>
          <w:rFonts w:ascii="Times New Roman" w:hAnsi="Times New Roman" w:cs="Times New Roman"/>
          <w:lang w:val="de-DE"/>
        </w:rPr>
      </w:pPr>
    </w:p>
    <w:p w14:paraId="6E3BF2BA" w14:textId="77777777" w:rsidR="00A624E6" w:rsidRPr="0037457B" w:rsidRDefault="00A624E6" w:rsidP="0037457B">
      <w:pPr>
        <w:jc w:val="both"/>
        <w:rPr>
          <w:rFonts w:ascii="Times New Roman" w:hAnsi="Times New Roman" w:cs="Times New Roman"/>
          <w:lang w:val="de-DE"/>
        </w:rPr>
      </w:pPr>
      <w:r w:rsidRPr="0037457B">
        <w:rPr>
          <w:rFonts w:ascii="Times New Roman" w:hAnsi="Times New Roman" w:cs="Times New Roman"/>
          <w:lang w:val="de-DE"/>
        </w:rPr>
        <w:t>Die</w:t>
      </w:r>
      <w:r w:rsidR="007515F7" w:rsidRPr="0037457B">
        <w:rPr>
          <w:rFonts w:ascii="Times New Roman" w:hAnsi="Times New Roman" w:cs="Times New Roman"/>
          <w:lang w:val="de-DE"/>
        </w:rPr>
        <w:t xml:space="preserve"> Restaurative Justiz – im deutschen Sprachraum wird in der Regel der englische Begriff</w:t>
      </w:r>
      <w:r w:rsidRPr="0037457B">
        <w:rPr>
          <w:rFonts w:ascii="Times New Roman" w:hAnsi="Times New Roman" w:cs="Times New Roman"/>
          <w:lang w:val="de-DE"/>
        </w:rPr>
        <w:t xml:space="preserve"> </w:t>
      </w:r>
      <w:r w:rsidR="007515F7" w:rsidRPr="0037457B">
        <w:rPr>
          <w:rFonts w:ascii="Times New Roman" w:hAnsi="Times New Roman" w:cs="Times New Roman"/>
          <w:lang w:val="de-DE"/>
        </w:rPr>
        <w:t>„</w:t>
      </w:r>
      <w:proofErr w:type="spellStart"/>
      <w:r w:rsidRPr="0037457B">
        <w:rPr>
          <w:rFonts w:ascii="Times New Roman" w:hAnsi="Times New Roman" w:cs="Times New Roman"/>
          <w:i/>
          <w:iCs/>
          <w:lang w:val="de-DE"/>
        </w:rPr>
        <w:t>Restorative</w:t>
      </w:r>
      <w:proofErr w:type="spellEnd"/>
      <w:r w:rsidRPr="0037457B">
        <w:rPr>
          <w:rFonts w:ascii="Times New Roman" w:hAnsi="Times New Roman" w:cs="Times New Roman"/>
          <w:i/>
          <w:iCs/>
          <w:lang w:val="de-DE"/>
        </w:rPr>
        <w:t xml:space="preserve"> Justice</w:t>
      </w:r>
      <w:r w:rsidR="007515F7" w:rsidRPr="0037457B">
        <w:rPr>
          <w:rFonts w:ascii="Times New Roman" w:hAnsi="Times New Roman" w:cs="Times New Roman"/>
          <w:lang w:val="de-DE"/>
        </w:rPr>
        <w:t>“ benutzt –</w:t>
      </w:r>
      <w:r w:rsidRPr="0037457B">
        <w:rPr>
          <w:rFonts w:ascii="Times New Roman" w:hAnsi="Times New Roman" w:cs="Times New Roman"/>
          <w:lang w:val="de-DE"/>
        </w:rPr>
        <w:t xml:space="preserve"> entwickelt sich weltweit als ergänzende Form </w:t>
      </w:r>
      <w:r w:rsidR="007515F7" w:rsidRPr="0037457B">
        <w:rPr>
          <w:rFonts w:ascii="Times New Roman" w:hAnsi="Times New Roman" w:cs="Times New Roman"/>
          <w:lang w:val="de-DE"/>
        </w:rPr>
        <w:t>zur</w:t>
      </w:r>
      <w:r w:rsidRPr="0037457B">
        <w:rPr>
          <w:rFonts w:ascii="Times New Roman" w:hAnsi="Times New Roman" w:cs="Times New Roman"/>
          <w:lang w:val="de-DE"/>
        </w:rPr>
        <w:t xml:space="preserve"> traditionellen Strafjustiz. Während sich letztere auf die Bestrafung des Täters konzentriert, gibt erstere den Opfern von Straftaten, die</w:t>
      </w:r>
      <w:r w:rsidR="00BA5C4F" w:rsidRPr="0037457B">
        <w:rPr>
          <w:rFonts w:ascii="Times New Roman" w:hAnsi="Times New Roman" w:cs="Times New Roman"/>
          <w:lang w:val="de-DE"/>
        </w:rPr>
        <w:t xml:space="preserve"> gewöhnlich</w:t>
      </w:r>
      <w:r w:rsidRPr="0037457B">
        <w:rPr>
          <w:rFonts w:ascii="Times New Roman" w:hAnsi="Times New Roman" w:cs="Times New Roman"/>
          <w:lang w:val="de-DE"/>
        </w:rPr>
        <w:t xml:space="preserve"> am Rande der traditionellen Strafjustiz bleiben, eine </w:t>
      </w:r>
      <w:r w:rsidR="007515F7" w:rsidRPr="0037457B">
        <w:rPr>
          <w:rFonts w:ascii="Times New Roman" w:hAnsi="Times New Roman" w:cs="Times New Roman"/>
          <w:lang w:val="de-DE"/>
        </w:rPr>
        <w:t>entscheidende S</w:t>
      </w:r>
      <w:r w:rsidRPr="0037457B">
        <w:rPr>
          <w:rFonts w:ascii="Times New Roman" w:hAnsi="Times New Roman" w:cs="Times New Roman"/>
          <w:lang w:val="de-DE"/>
        </w:rPr>
        <w:t>timme. Sie zielt darauf ab, Beziehungen zwischen den Personen wiederherzustellen und so d</w:t>
      </w:r>
      <w:r w:rsidR="00BA5C4F" w:rsidRPr="0037457B">
        <w:rPr>
          <w:rFonts w:ascii="Times New Roman" w:hAnsi="Times New Roman" w:cs="Times New Roman"/>
          <w:lang w:val="de-DE"/>
        </w:rPr>
        <w:t>ie Netze</w:t>
      </w:r>
      <w:r w:rsidRPr="0037457B">
        <w:rPr>
          <w:rFonts w:ascii="Times New Roman" w:hAnsi="Times New Roman" w:cs="Times New Roman"/>
          <w:lang w:val="de-DE"/>
        </w:rPr>
        <w:t xml:space="preserve"> zu </w:t>
      </w:r>
      <w:r w:rsidR="007515F7" w:rsidRPr="0037457B">
        <w:rPr>
          <w:rFonts w:ascii="Times New Roman" w:hAnsi="Times New Roman" w:cs="Times New Roman"/>
          <w:lang w:val="de-DE"/>
        </w:rPr>
        <w:t>stärken</w:t>
      </w:r>
      <w:r w:rsidRPr="0037457B">
        <w:rPr>
          <w:rFonts w:ascii="Times New Roman" w:hAnsi="Times New Roman" w:cs="Times New Roman"/>
          <w:lang w:val="de-DE"/>
        </w:rPr>
        <w:t>, d</w:t>
      </w:r>
      <w:r w:rsidR="00BA5C4F" w:rsidRPr="0037457B">
        <w:rPr>
          <w:rFonts w:ascii="Times New Roman" w:hAnsi="Times New Roman" w:cs="Times New Roman"/>
          <w:lang w:val="de-DE"/>
        </w:rPr>
        <w:t>ie</w:t>
      </w:r>
      <w:r w:rsidRPr="0037457B">
        <w:rPr>
          <w:rFonts w:ascii="Times New Roman" w:hAnsi="Times New Roman" w:cs="Times New Roman"/>
          <w:lang w:val="de-DE"/>
        </w:rPr>
        <w:t xml:space="preserve"> sie an ihr Lebensumfeld binde</w:t>
      </w:r>
      <w:r w:rsidR="00BA5C4F" w:rsidRPr="0037457B">
        <w:rPr>
          <w:rFonts w:ascii="Times New Roman" w:hAnsi="Times New Roman" w:cs="Times New Roman"/>
          <w:lang w:val="de-DE"/>
        </w:rPr>
        <w:t>n</w:t>
      </w:r>
      <w:r w:rsidR="007515F7" w:rsidRPr="0037457B">
        <w:rPr>
          <w:rFonts w:ascii="Times New Roman" w:hAnsi="Times New Roman" w:cs="Times New Roman"/>
          <w:lang w:val="de-DE"/>
        </w:rPr>
        <w:t>. Wobei man</w:t>
      </w:r>
      <w:r w:rsidRPr="0037457B">
        <w:rPr>
          <w:rFonts w:ascii="Times New Roman" w:hAnsi="Times New Roman" w:cs="Times New Roman"/>
          <w:lang w:val="de-DE"/>
        </w:rPr>
        <w:t xml:space="preserve"> von dem </w:t>
      </w:r>
      <w:r w:rsidR="007515F7" w:rsidRPr="0037457B">
        <w:rPr>
          <w:rFonts w:ascii="Times New Roman" w:hAnsi="Times New Roman" w:cs="Times New Roman"/>
          <w:lang w:val="de-DE"/>
        </w:rPr>
        <w:t>Gedanken ausgeht</w:t>
      </w:r>
      <w:r w:rsidRPr="0037457B">
        <w:rPr>
          <w:rFonts w:ascii="Times New Roman" w:hAnsi="Times New Roman" w:cs="Times New Roman"/>
          <w:lang w:val="de-DE"/>
        </w:rPr>
        <w:t>, dass sich die Straftat auf das Opfer bezieht und</w:t>
      </w:r>
      <w:r w:rsidR="00BA5C4F" w:rsidRPr="0037457B">
        <w:rPr>
          <w:rFonts w:ascii="Times New Roman" w:hAnsi="Times New Roman" w:cs="Times New Roman"/>
          <w:lang w:val="de-DE"/>
        </w:rPr>
        <w:t xml:space="preserve"> dabei</w:t>
      </w:r>
      <w:r w:rsidRPr="0037457B">
        <w:rPr>
          <w:rFonts w:ascii="Times New Roman" w:hAnsi="Times New Roman" w:cs="Times New Roman"/>
          <w:lang w:val="de-DE"/>
        </w:rPr>
        <w:t xml:space="preserve"> die Gemeinschaft mit einbezieht. Das Ziel der Wiedergutmachung besteht</w:t>
      </w:r>
      <w:r w:rsidR="00BA5C4F" w:rsidRPr="0037457B">
        <w:rPr>
          <w:rFonts w:ascii="Times New Roman" w:hAnsi="Times New Roman" w:cs="Times New Roman"/>
          <w:lang w:val="de-DE"/>
        </w:rPr>
        <w:t xml:space="preserve"> also</w:t>
      </w:r>
      <w:r w:rsidRPr="0037457B">
        <w:rPr>
          <w:rFonts w:ascii="Times New Roman" w:hAnsi="Times New Roman" w:cs="Times New Roman"/>
          <w:lang w:val="de-DE"/>
        </w:rPr>
        <w:t xml:space="preserve"> darin, Konflikte in Ergänzung zur traditionellen strafrechtlichen Lösung</w:t>
      </w:r>
      <w:r w:rsidR="007515F7" w:rsidRPr="0037457B">
        <w:rPr>
          <w:rFonts w:ascii="Times New Roman" w:hAnsi="Times New Roman" w:cs="Times New Roman"/>
          <w:lang w:val="de-DE"/>
        </w:rPr>
        <w:t xml:space="preserve"> zu befrieden</w:t>
      </w:r>
      <w:r w:rsidRPr="0037457B">
        <w:rPr>
          <w:rFonts w:ascii="Times New Roman" w:hAnsi="Times New Roman" w:cs="Times New Roman"/>
          <w:lang w:val="de-DE"/>
        </w:rPr>
        <w:t>.</w:t>
      </w:r>
    </w:p>
    <w:p w14:paraId="0CDBB279" w14:textId="77777777" w:rsidR="00C45B09" w:rsidRPr="0037457B" w:rsidRDefault="00A624E6" w:rsidP="0037457B">
      <w:pPr>
        <w:jc w:val="both"/>
        <w:rPr>
          <w:rFonts w:ascii="Times New Roman" w:hAnsi="Times New Roman" w:cs="Times New Roman"/>
          <w:lang w:val="de-DE"/>
        </w:rPr>
      </w:pPr>
      <w:r w:rsidRPr="0037457B">
        <w:rPr>
          <w:rFonts w:ascii="Times New Roman" w:hAnsi="Times New Roman" w:cs="Times New Roman"/>
          <w:lang w:val="de-DE"/>
        </w:rPr>
        <w:t xml:space="preserve">Die grundlegenden Fragen für die </w:t>
      </w:r>
      <w:proofErr w:type="spellStart"/>
      <w:r w:rsidRPr="0037457B">
        <w:rPr>
          <w:rFonts w:ascii="Times New Roman" w:hAnsi="Times New Roman" w:cs="Times New Roman"/>
          <w:i/>
          <w:iCs/>
          <w:lang w:val="de-DE"/>
        </w:rPr>
        <w:t>Restorative</w:t>
      </w:r>
      <w:proofErr w:type="spellEnd"/>
      <w:r w:rsidRPr="0037457B">
        <w:rPr>
          <w:rFonts w:ascii="Times New Roman" w:hAnsi="Times New Roman" w:cs="Times New Roman"/>
          <w:i/>
          <w:iCs/>
          <w:lang w:val="de-DE"/>
        </w:rPr>
        <w:t xml:space="preserve"> Justice</w:t>
      </w:r>
      <w:r w:rsidRPr="0037457B">
        <w:rPr>
          <w:rFonts w:ascii="Times New Roman" w:hAnsi="Times New Roman" w:cs="Times New Roman"/>
          <w:lang w:val="de-DE"/>
        </w:rPr>
        <w:t xml:space="preserve"> lauten daher nicht mehr (oder nicht mehr nur) </w:t>
      </w:r>
      <w:r w:rsidR="00C45B09" w:rsidRPr="0037457B">
        <w:rPr>
          <w:rFonts w:ascii="Times New Roman" w:hAnsi="Times New Roman" w:cs="Times New Roman"/>
          <w:lang w:val="de-DE"/>
        </w:rPr>
        <w:t>„</w:t>
      </w:r>
      <w:r w:rsidR="00B922D0" w:rsidRPr="0037457B">
        <w:rPr>
          <w:rFonts w:ascii="Times New Roman" w:hAnsi="Times New Roman" w:cs="Times New Roman"/>
          <w:lang w:val="de-DE"/>
        </w:rPr>
        <w:t>Wer</w:t>
      </w:r>
      <w:r w:rsidRPr="0037457B">
        <w:rPr>
          <w:rFonts w:ascii="Times New Roman" w:hAnsi="Times New Roman" w:cs="Times New Roman"/>
          <w:lang w:val="de-DE"/>
        </w:rPr>
        <w:t xml:space="preserve"> verdient es, bestraft zu werden</w:t>
      </w:r>
      <w:r w:rsidR="00C45B09" w:rsidRPr="0037457B">
        <w:rPr>
          <w:rFonts w:ascii="Times New Roman" w:hAnsi="Times New Roman" w:cs="Times New Roman"/>
          <w:lang w:val="de-DE"/>
        </w:rPr>
        <w:t>“</w:t>
      </w:r>
      <w:r w:rsidRPr="0037457B">
        <w:rPr>
          <w:rFonts w:ascii="Times New Roman" w:hAnsi="Times New Roman" w:cs="Times New Roman"/>
          <w:lang w:val="de-DE"/>
        </w:rPr>
        <w:t xml:space="preserve"> und </w:t>
      </w:r>
      <w:r w:rsidR="00C45B09" w:rsidRPr="0037457B">
        <w:rPr>
          <w:rFonts w:ascii="Times New Roman" w:hAnsi="Times New Roman" w:cs="Times New Roman"/>
          <w:lang w:val="de-DE"/>
        </w:rPr>
        <w:t>„</w:t>
      </w:r>
      <w:r w:rsidRPr="0037457B">
        <w:rPr>
          <w:rFonts w:ascii="Times New Roman" w:hAnsi="Times New Roman" w:cs="Times New Roman"/>
          <w:lang w:val="de-DE"/>
        </w:rPr>
        <w:t>mit welchen Sanktionen</w:t>
      </w:r>
      <w:r w:rsidR="00C45B09" w:rsidRPr="0037457B">
        <w:rPr>
          <w:rFonts w:ascii="Times New Roman" w:hAnsi="Times New Roman" w:cs="Times New Roman"/>
          <w:lang w:val="de-DE"/>
        </w:rPr>
        <w:t>“</w:t>
      </w:r>
      <w:r w:rsidRPr="0037457B">
        <w:rPr>
          <w:rFonts w:ascii="Times New Roman" w:hAnsi="Times New Roman" w:cs="Times New Roman"/>
          <w:lang w:val="de-DE"/>
        </w:rPr>
        <w:t xml:space="preserve">, sondern vielmehr </w:t>
      </w:r>
      <w:r w:rsidR="00C45B09" w:rsidRPr="0037457B">
        <w:rPr>
          <w:rFonts w:ascii="Times New Roman" w:hAnsi="Times New Roman" w:cs="Times New Roman"/>
          <w:lang w:val="de-DE"/>
        </w:rPr>
        <w:t>„</w:t>
      </w:r>
      <w:r w:rsidR="00B922D0" w:rsidRPr="0037457B">
        <w:rPr>
          <w:rFonts w:ascii="Times New Roman" w:hAnsi="Times New Roman" w:cs="Times New Roman"/>
          <w:lang w:val="de-DE"/>
        </w:rPr>
        <w:t>W</w:t>
      </w:r>
      <w:r w:rsidRPr="0037457B">
        <w:rPr>
          <w:rFonts w:ascii="Times New Roman" w:hAnsi="Times New Roman" w:cs="Times New Roman"/>
          <w:lang w:val="de-DE"/>
        </w:rPr>
        <w:t>er leidet</w:t>
      </w:r>
      <w:r w:rsidR="00C45B09" w:rsidRPr="0037457B">
        <w:rPr>
          <w:rFonts w:ascii="Times New Roman" w:hAnsi="Times New Roman" w:cs="Times New Roman"/>
          <w:lang w:val="de-DE"/>
        </w:rPr>
        <w:t>“</w:t>
      </w:r>
      <w:r w:rsidRPr="0037457B">
        <w:rPr>
          <w:rFonts w:ascii="Times New Roman" w:hAnsi="Times New Roman" w:cs="Times New Roman"/>
          <w:lang w:val="de-DE"/>
        </w:rPr>
        <w:t xml:space="preserve"> und </w:t>
      </w:r>
      <w:r w:rsidR="00C45B09" w:rsidRPr="0037457B">
        <w:rPr>
          <w:rFonts w:ascii="Times New Roman" w:hAnsi="Times New Roman" w:cs="Times New Roman"/>
          <w:lang w:val="de-DE"/>
        </w:rPr>
        <w:t>„</w:t>
      </w:r>
      <w:r w:rsidR="00B922D0" w:rsidRPr="0037457B">
        <w:rPr>
          <w:rFonts w:ascii="Times New Roman" w:hAnsi="Times New Roman" w:cs="Times New Roman"/>
          <w:lang w:val="de-DE"/>
        </w:rPr>
        <w:t>W</w:t>
      </w:r>
      <w:r w:rsidRPr="0037457B">
        <w:rPr>
          <w:rFonts w:ascii="Times New Roman" w:hAnsi="Times New Roman" w:cs="Times New Roman"/>
          <w:lang w:val="de-DE"/>
        </w:rPr>
        <w:t>as kann getan werden, um den Schaden wiedergutzumachen</w:t>
      </w:r>
      <w:r w:rsidR="00C45B09" w:rsidRPr="0037457B">
        <w:rPr>
          <w:rFonts w:ascii="Times New Roman" w:hAnsi="Times New Roman" w:cs="Times New Roman"/>
          <w:lang w:val="de-DE"/>
        </w:rPr>
        <w:t>“.</w:t>
      </w:r>
      <w:r w:rsidRPr="0037457B">
        <w:rPr>
          <w:rFonts w:ascii="Times New Roman" w:hAnsi="Times New Roman" w:cs="Times New Roman"/>
          <w:lang w:val="de-DE"/>
        </w:rPr>
        <w:t xml:space="preserve"> Wiedergutmachung</w:t>
      </w:r>
      <w:r w:rsidR="00C45B09" w:rsidRPr="0037457B">
        <w:rPr>
          <w:rFonts w:ascii="Times New Roman" w:hAnsi="Times New Roman" w:cs="Times New Roman"/>
          <w:lang w:val="de-DE"/>
        </w:rPr>
        <w:t xml:space="preserve"> </w:t>
      </w:r>
      <w:r w:rsidR="00BA5C4F" w:rsidRPr="0037457B">
        <w:rPr>
          <w:rFonts w:ascii="Times New Roman" w:hAnsi="Times New Roman" w:cs="Times New Roman"/>
          <w:lang w:val="de-DE"/>
        </w:rPr>
        <w:t>strebt</w:t>
      </w:r>
      <w:r w:rsidR="00C45B09" w:rsidRPr="0037457B">
        <w:rPr>
          <w:rFonts w:ascii="Times New Roman" w:hAnsi="Times New Roman" w:cs="Times New Roman"/>
          <w:lang w:val="de-DE"/>
        </w:rPr>
        <w:t xml:space="preserve"> über die materiellen und immateriellen Schäden hinaus die Wiederherstellung von positiven sozialen Beziehungen </w:t>
      </w:r>
      <w:r w:rsidR="00BA5C4F" w:rsidRPr="0037457B">
        <w:rPr>
          <w:rFonts w:ascii="Times New Roman" w:hAnsi="Times New Roman" w:cs="Times New Roman"/>
          <w:lang w:val="de-DE"/>
        </w:rPr>
        <w:t>an</w:t>
      </w:r>
      <w:r w:rsidR="00C45B09" w:rsidRPr="0037457B">
        <w:rPr>
          <w:rFonts w:ascii="Times New Roman" w:hAnsi="Times New Roman" w:cs="Times New Roman"/>
          <w:lang w:val="de-DE"/>
        </w:rPr>
        <w:t>.</w:t>
      </w:r>
    </w:p>
    <w:p w14:paraId="635A8AD2" w14:textId="77777777" w:rsidR="00A624E6" w:rsidRPr="0037457B" w:rsidRDefault="00A624E6" w:rsidP="0037457B">
      <w:pPr>
        <w:jc w:val="both"/>
        <w:rPr>
          <w:rFonts w:ascii="Times New Roman" w:hAnsi="Times New Roman" w:cs="Times New Roman"/>
          <w:lang w:val="de-DE"/>
        </w:rPr>
      </w:pPr>
      <w:r w:rsidRPr="0037457B">
        <w:rPr>
          <w:rFonts w:ascii="Times New Roman" w:hAnsi="Times New Roman" w:cs="Times New Roman"/>
          <w:lang w:val="de-DE"/>
        </w:rPr>
        <w:t xml:space="preserve">Das Thema ist von wachsender </w:t>
      </w:r>
      <w:r w:rsidR="00C45B09" w:rsidRPr="0037457B">
        <w:rPr>
          <w:rFonts w:ascii="Times New Roman" w:hAnsi="Times New Roman" w:cs="Times New Roman"/>
          <w:lang w:val="de-DE"/>
        </w:rPr>
        <w:t>Bedeutung</w:t>
      </w:r>
      <w:r w:rsidRPr="0037457B">
        <w:rPr>
          <w:rFonts w:ascii="Times New Roman" w:hAnsi="Times New Roman" w:cs="Times New Roman"/>
          <w:lang w:val="de-DE"/>
        </w:rPr>
        <w:t xml:space="preserve">, </w:t>
      </w:r>
      <w:r w:rsidR="00C45B09" w:rsidRPr="0037457B">
        <w:rPr>
          <w:rFonts w:ascii="Times New Roman" w:hAnsi="Times New Roman" w:cs="Times New Roman"/>
          <w:lang w:val="de-DE"/>
        </w:rPr>
        <w:t>seitdem</w:t>
      </w:r>
      <w:r w:rsidRPr="0037457B">
        <w:rPr>
          <w:rFonts w:ascii="Times New Roman" w:hAnsi="Times New Roman" w:cs="Times New Roman"/>
          <w:lang w:val="de-DE"/>
        </w:rPr>
        <w:t xml:space="preserve"> es seit Anfang der </w:t>
      </w:r>
      <w:r w:rsidR="00B922D0" w:rsidRPr="0037457B">
        <w:rPr>
          <w:rFonts w:ascii="Times New Roman" w:hAnsi="Times New Roman" w:cs="Times New Roman"/>
          <w:lang w:val="de-DE"/>
        </w:rPr>
        <w:t>1980er-Jahre</w:t>
      </w:r>
      <w:r w:rsidRPr="0037457B">
        <w:rPr>
          <w:rFonts w:ascii="Times New Roman" w:hAnsi="Times New Roman" w:cs="Times New Roman"/>
          <w:lang w:val="de-DE"/>
        </w:rPr>
        <w:t xml:space="preserve"> Gegenstand von Resolutionen der Vereinten Nationen und von Richtlinien der Europäischen Union </w:t>
      </w:r>
      <w:r w:rsidR="00C45B09" w:rsidRPr="0037457B">
        <w:rPr>
          <w:rFonts w:ascii="Times New Roman" w:hAnsi="Times New Roman" w:cs="Times New Roman"/>
          <w:lang w:val="de-DE"/>
        </w:rPr>
        <w:t>wurde</w:t>
      </w:r>
      <w:r w:rsidRPr="0037457B">
        <w:rPr>
          <w:rFonts w:ascii="Times New Roman" w:hAnsi="Times New Roman" w:cs="Times New Roman"/>
          <w:lang w:val="de-DE"/>
        </w:rPr>
        <w:t xml:space="preserve">. Es weist deutliche interdisziplinäre Aspekte auf, die es deshalb für den </w:t>
      </w:r>
      <w:proofErr w:type="spellStart"/>
      <w:r w:rsidRPr="0037457B">
        <w:rPr>
          <w:rFonts w:ascii="Times New Roman" w:hAnsi="Times New Roman" w:cs="Times New Roman"/>
          <w:lang w:val="de-DE"/>
        </w:rPr>
        <w:t>Balzan</w:t>
      </w:r>
      <w:proofErr w:type="spellEnd"/>
      <w:r w:rsidR="00FE4D52" w:rsidRPr="0037457B">
        <w:rPr>
          <w:rFonts w:ascii="Times New Roman" w:hAnsi="Times New Roman" w:cs="Times New Roman"/>
          <w:lang w:val="de-DE"/>
        </w:rPr>
        <w:t xml:space="preserve"> </w:t>
      </w:r>
      <w:r w:rsidRPr="0037457B">
        <w:rPr>
          <w:rFonts w:ascii="Times New Roman" w:hAnsi="Times New Roman" w:cs="Times New Roman"/>
          <w:lang w:val="de-DE"/>
        </w:rPr>
        <w:t>Preis so interessant machen.</w:t>
      </w:r>
    </w:p>
    <w:p w14:paraId="238C8357" w14:textId="77777777" w:rsidR="0011655A" w:rsidRPr="0037457B" w:rsidRDefault="0011655A" w:rsidP="0037457B">
      <w:pPr>
        <w:jc w:val="both"/>
        <w:rPr>
          <w:rFonts w:ascii="Times New Roman" w:hAnsi="Times New Roman" w:cs="Times New Roman"/>
          <w:lang w:val="de-DE"/>
        </w:rPr>
      </w:pPr>
    </w:p>
    <w:p w14:paraId="60976D68" w14:textId="77777777" w:rsidR="00FE4D52" w:rsidRPr="0037457B" w:rsidRDefault="00FE4D52" w:rsidP="0037457B">
      <w:pPr>
        <w:jc w:val="both"/>
        <w:rPr>
          <w:rFonts w:ascii="Times New Roman" w:hAnsi="Times New Roman" w:cs="Times New Roman"/>
          <w:lang w:val="de-DE"/>
        </w:rPr>
      </w:pPr>
    </w:p>
    <w:p w14:paraId="2C4D0F97" w14:textId="77777777" w:rsidR="00FE4D52" w:rsidRDefault="00FE4D52" w:rsidP="0037457B">
      <w:pPr>
        <w:jc w:val="both"/>
        <w:rPr>
          <w:rFonts w:ascii="Times New Roman" w:hAnsi="Times New Roman" w:cs="Times New Roman"/>
          <w:b/>
          <w:bCs/>
          <w:lang w:val="de-DE"/>
        </w:rPr>
      </w:pPr>
      <w:r w:rsidRPr="0037457B">
        <w:rPr>
          <w:rFonts w:ascii="Times New Roman" w:hAnsi="Times New Roman" w:cs="Times New Roman"/>
          <w:b/>
          <w:bCs/>
          <w:lang w:val="de-DE"/>
        </w:rPr>
        <w:t>Wissenschaftsgeschichte (Neuzeit und Gegenwart)</w:t>
      </w:r>
    </w:p>
    <w:p w14:paraId="7E9E3EEC" w14:textId="77777777" w:rsidR="0034387A" w:rsidRPr="0037457B" w:rsidRDefault="0034387A" w:rsidP="0037457B">
      <w:pPr>
        <w:jc w:val="both"/>
        <w:rPr>
          <w:rFonts w:ascii="Times New Roman" w:hAnsi="Times New Roman" w:cs="Times New Roman"/>
          <w:b/>
          <w:bCs/>
          <w:lang w:val="de-DE"/>
        </w:rPr>
      </w:pPr>
    </w:p>
    <w:p w14:paraId="1F2387E0" w14:textId="77777777" w:rsidR="0034387A" w:rsidRPr="0034387A" w:rsidRDefault="0034387A" w:rsidP="0034387A">
      <w:pPr>
        <w:tabs>
          <w:tab w:val="left" w:pos="3690"/>
        </w:tabs>
        <w:jc w:val="both"/>
        <w:rPr>
          <w:rFonts w:ascii="Times New Roman" w:hAnsi="Times New Roman" w:cs="Times New Roman"/>
          <w:lang w:val="de-DE"/>
        </w:rPr>
      </w:pPr>
      <w:r w:rsidRPr="0034387A">
        <w:rPr>
          <w:rFonts w:ascii="Times New Roman" w:hAnsi="Times New Roman" w:cs="Times New Roman"/>
          <w:lang w:val="de-DE"/>
        </w:rPr>
        <w:t xml:space="preserve">Der </w:t>
      </w:r>
      <w:proofErr w:type="spellStart"/>
      <w:r w:rsidRPr="0034387A">
        <w:rPr>
          <w:rFonts w:ascii="Times New Roman" w:hAnsi="Times New Roman" w:cs="Times New Roman"/>
          <w:lang w:val="de-DE"/>
        </w:rPr>
        <w:t>Balzan</w:t>
      </w:r>
      <w:proofErr w:type="spellEnd"/>
      <w:r w:rsidRPr="0034387A">
        <w:rPr>
          <w:rFonts w:ascii="Times New Roman" w:hAnsi="Times New Roman" w:cs="Times New Roman"/>
          <w:lang w:val="de-DE"/>
        </w:rPr>
        <w:t xml:space="preserve"> Preis würdigt einmal mehr das Fach Wissenschaftsgeschichte im Zusammenhang einer zeitlichen Entwicklungslinie zu vorangegangenen Preisträgern. Während Otto Neugebauer (1986) für seine Studien zur antiken Wissenschaft von Ägypten und Mesopotamien bis zum klassischen Griechenland geehrt wurde, konnte Paolo Rossi Monti (2009) wichtige Beiträge zur Interpretation der wissenschaftlichen Entwicklung zwischen dem Ende des Mittelalters und der frühen Neuzeit leisten, während Charles </w:t>
      </w:r>
      <w:proofErr w:type="spellStart"/>
      <w:r w:rsidRPr="0034387A">
        <w:rPr>
          <w:rFonts w:ascii="Times New Roman" w:hAnsi="Times New Roman" w:cs="Times New Roman"/>
          <w:lang w:val="de-DE"/>
        </w:rPr>
        <w:t>Coulston</w:t>
      </w:r>
      <w:proofErr w:type="spellEnd"/>
      <w:r w:rsidRPr="0034387A">
        <w:rPr>
          <w:rFonts w:ascii="Times New Roman" w:hAnsi="Times New Roman" w:cs="Times New Roman"/>
          <w:lang w:val="de-DE"/>
        </w:rPr>
        <w:t xml:space="preserve"> </w:t>
      </w:r>
      <w:proofErr w:type="spellStart"/>
      <w:r w:rsidRPr="0034387A">
        <w:rPr>
          <w:rFonts w:ascii="Times New Roman" w:hAnsi="Times New Roman" w:cs="Times New Roman"/>
          <w:lang w:val="de-DE"/>
        </w:rPr>
        <w:t>Gillispie</w:t>
      </w:r>
      <w:proofErr w:type="spellEnd"/>
      <w:r w:rsidRPr="0034387A">
        <w:rPr>
          <w:rFonts w:ascii="Times New Roman" w:hAnsi="Times New Roman" w:cs="Times New Roman"/>
          <w:lang w:val="de-DE"/>
        </w:rPr>
        <w:t xml:space="preserve"> sich speziell auf die Zeit nach dem Ende des Ancien </w:t>
      </w:r>
      <w:proofErr w:type="spellStart"/>
      <w:r w:rsidRPr="0034387A">
        <w:rPr>
          <w:rFonts w:ascii="Times New Roman" w:hAnsi="Times New Roman" w:cs="Times New Roman"/>
          <w:lang w:val="de-DE"/>
        </w:rPr>
        <w:t>Régime</w:t>
      </w:r>
      <w:proofErr w:type="spellEnd"/>
      <w:r w:rsidRPr="0034387A">
        <w:rPr>
          <w:rFonts w:ascii="Times New Roman" w:hAnsi="Times New Roman" w:cs="Times New Roman"/>
          <w:lang w:val="de-DE"/>
        </w:rPr>
        <w:t xml:space="preserve"> konzentriert hatte (1997).</w:t>
      </w:r>
    </w:p>
    <w:p w14:paraId="7B3A0280" w14:textId="3120673B" w:rsidR="00C03AF1" w:rsidRPr="0037457B" w:rsidRDefault="0034387A" w:rsidP="0034387A">
      <w:pPr>
        <w:tabs>
          <w:tab w:val="left" w:pos="3690"/>
        </w:tabs>
        <w:jc w:val="both"/>
        <w:rPr>
          <w:rFonts w:ascii="Times New Roman" w:hAnsi="Times New Roman" w:cs="Times New Roman"/>
          <w:lang w:val="de-DE"/>
        </w:rPr>
      </w:pPr>
      <w:r w:rsidRPr="0034387A">
        <w:rPr>
          <w:rFonts w:ascii="Times New Roman" w:hAnsi="Times New Roman" w:cs="Times New Roman"/>
          <w:lang w:val="de-DE"/>
        </w:rPr>
        <w:t xml:space="preserve">Die Verleihung des </w:t>
      </w:r>
      <w:proofErr w:type="spellStart"/>
      <w:r w:rsidRPr="0034387A">
        <w:rPr>
          <w:rFonts w:ascii="Times New Roman" w:hAnsi="Times New Roman" w:cs="Times New Roman"/>
          <w:lang w:val="de-DE"/>
        </w:rPr>
        <w:t>Balzan</w:t>
      </w:r>
      <w:proofErr w:type="spellEnd"/>
      <w:r w:rsidRPr="0034387A">
        <w:rPr>
          <w:rFonts w:ascii="Times New Roman" w:hAnsi="Times New Roman" w:cs="Times New Roman"/>
          <w:lang w:val="de-DE"/>
        </w:rPr>
        <w:t xml:space="preserve"> Preises 2024 für die Geschichte der modernen und zeitgenössischen Wissenschaft erfolgt zu einer Zeit, in der sich im Zusammenspiel von Wissenschaftsgeschichte, Wissenschaftssoziologie und Wissenschaftstheorie neue und vielfältige Forschungsfelder öffnen. Geschichte der Naturwissenschaften, der Technologie und der Medizin (sowie </w:t>
      </w:r>
      <w:proofErr w:type="gramStart"/>
      <w:r w:rsidRPr="0034387A">
        <w:rPr>
          <w:rFonts w:ascii="Times New Roman" w:hAnsi="Times New Roman" w:cs="Times New Roman"/>
          <w:lang w:val="de-DE"/>
        </w:rPr>
        <w:t>die enger umschriebenen Bereiche</w:t>
      </w:r>
      <w:proofErr w:type="gramEnd"/>
      <w:r w:rsidRPr="0034387A">
        <w:rPr>
          <w:rFonts w:ascii="Times New Roman" w:hAnsi="Times New Roman" w:cs="Times New Roman"/>
          <w:lang w:val="de-DE"/>
        </w:rPr>
        <w:t xml:space="preserve">: Geschichte der Mathematik, der Physik, der Chemie usw.) werden an den führenden Universitäten in der ganzen Welt praktiziert und gelehrt. Darüber hinaus gibt es in vielen Ländern spezielle nationale Gesellschaften, denen Tausende von Wissenschaftlern angehören, die hauptsächlich (aber nicht ausschließlich) mit universitären Einrichtungen verbunden sind. In diesem Zusammenhang bleibt dennoch eine Frage an die wissenschaftliche Welt aktuell, die Paolo Rossi Monti gleich zu Beginn seiner </w:t>
      </w:r>
      <w:proofErr w:type="spellStart"/>
      <w:r w:rsidRPr="0034387A">
        <w:rPr>
          <w:rFonts w:ascii="Times New Roman" w:hAnsi="Times New Roman" w:cs="Times New Roman"/>
          <w:lang w:val="de-DE"/>
        </w:rPr>
        <w:t>lectio</w:t>
      </w:r>
      <w:proofErr w:type="spellEnd"/>
      <w:r w:rsidRPr="0034387A">
        <w:rPr>
          <w:rFonts w:ascii="Times New Roman" w:hAnsi="Times New Roman" w:cs="Times New Roman"/>
          <w:lang w:val="de-DE"/>
        </w:rPr>
        <w:t xml:space="preserve"> </w:t>
      </w:r>
      <w:proofErr w:type="spellStart"/>
      <w:r w:rsidRPr="0034387A">
        <w:rPr>
          <w:rFonts w:ascii="Times New Roman" w:hAnsi="Times New Roman" w:cs="Times New Roman"/>
          <w:lang w:val="de-DE"/>
        </w:rPr>
        <w:t>magistralis</w:t>
      </w:r>
      <w:proofErr w:type="spellEnd"/>
      <w:r w:rsidRPr="0034387A">
        <w:rPr>
          <w:rFonts w:ascii="Times New Roman" w:hAnsi="Times New Roman" w:cs="Times New Roman"/>
          <w:lang w:val="de-DE"/>
        </w:rPr>
        <w:t xml:space="preserve"> im Rahmen der Bekanntgabe der </w:t>
      </w:r>
      <w:proofErr w:type="spellStart"/>
      <w:r w:rsidRPr="0034387A">
        <w:rPr>
          <w:rFonts w:ascii="Times New Roman" w:hAnsi="Times New Roman" w:cs="Times New Roman"/>
          <w:lang w:val="de-DE"/>
        </w:rPr>
        <w:t>Balzan</w:t>
      </w:r>
      <w:proofErr w:type="spellEnd"/>
      <w:r w:rsidRPr="0034387A">
        <w:rPr>
          <w:rFonts w:ascii="Times New Roman" w:hAnsi="Times New Roman" w:cs="Times New Roman"/>
          <w:lang w:val="de-DE"/>
        </w:rPr>
        <w:t xml:space="preserve"> Preise 2010 (am Sitz der </w:t>
      </w:r>
      <w:proofErr w:type="spellStart"/>
      <w:r w:rsidRPr="0034387A">
        <w:rPr>
          <w:rFonts w:ascii="Times New Roman" w:hAnsi="Times New Roman" w:cs="Times New Roman"/>
          <w:lang w:val="de-DE"/>
        </w:rPr>
        <w:t>Fondazione</w:t>
      </w:r>
      <w:proofErr w:type="spellEnd"/>
      <w:r w:rsidRPr="0034387A">
        <w:rPr>
          <w:rFonts w:ascii="Times New Roman" w:hAnsi="Times New Roman" w:cs="Times New Roman"/>
          <w:lang w:val="de-DE"/>
        </w:rPr>
        <w:t xml:space="preserve"> Corriere della Sera) nach dem historischen Bewusstsein gestellt hatte: „Wissen die Wissenschaftler eigentlich, dass Wissenschaft eine Geschichte hat?“</w:t>
      </w:r>
      <w:r w:rsidR="00503C48">
        <w:rPr>
          <w:rFonts w:ascii="Times New Roman" w:hAnsi="Times New Roman" w:cs="Times New Roman"/>
          <w:lang w:val="de-DE"/>
        </w:rPr>
        <w:tab/>
      </w:r>
    </w:p>
    <w:p w14:paraId="7B7EDE36" w14:textId="77777777" w:rsidR="00C03AF1" w:rsidRDefault="00C03AF1" w:rsidP="0037457B">
      <w:pPr>
        <w:jc w:val="both"/>
        <w:rPr>
          <w:rFonts w:ascii="Times New Roman" w:hAnsi="Times New Roman" w:cs="Times New Roman"/>
          <w:lang w:val="de-DE"/>
        </w:rPr>
      </w:pPr>
    </w:p>
    <w:p w14:paraId="66CBB377" w14:textId="77777777" w:rsidR="00F11F62" w:rsidRDefault="00F11F62" w:rsidP="00F11F62">
      <w:pPr>
        <w:jc w:val="center"/>
        <w:rPr>
          <w:rFonts w:ascii="Times New Roman" w:hAnsi="Times New Roman" w:cs="Times New Roman"/>
          <w:b/>
          <w:bCs/>
          <w:sz w:val="28"/>
          <w:szCs w:val="28"/>
          <w:lang w:val="de-DE"/>
        </w:rPr>
      </w:pPr>
    </w:p>
    <w:p w14:paraId="760D4389" w14:textId="67ACAF3D" w:rsidR="00F11F62" w:rsidRDefault="00F11F62" w:rsidP="00F11F62">
      <w:pPr>
        <w:jc w:val="center"/>
        <w:rPr>
          <w:rFonts w:ascii="Times New Roman" w:hAnsi="Times New Roman" w:cs="Times New Roman"/>
          <w:lang w:val="de-DE"/>
        </w:rPr>
      </w:pPr>
      <w:r w:rsidRPr="0037457B">
        <w:rPr>
          <w:rFonts w:ascii="Times New Roman" w:hAnsi="Times New Roman" w:cs="Times New Roman"/>
          <w:b/>
          <w:bCs/>
          <w:sz w:val="28"/>
          <w:szCs w:val="28"/>
          <w:lang w:val="de-DE"/>
        </w:rPr>
        <w:lastRenderedPageBreak/>
        <w:t xml:space="preserve">Die Fachgebiete der </w:t>
      </w:r>
      <w:proofErr w:type="spellStart"/>
      <w:r w:rsidRPr="0037457B">
        <w:rPr>
          <w:rFonts w:ascii="Times New Roman" w:hAnsi="Times New Roman" w:cs="Times New Roman"/>
          <w:b/>
          <w:bCs/>
          <w:sz w:val="28"/>
          <w:szCs w:val="28"/>
          <w:lang w:val="de-DE"/>
        </w:rPr>
        <w:t>Balzan</w:t>
      </w:r>
      <w:proofErr w:type="spellEnd"/>
      <w:r w:rsidRPr="0037457B">
        <w:rPr>
          <w:rFonts w:ascii="Times New Roman" w:hAnsi="Times New Roman" w:cs="Times New Roman"/>
          <w:b/>
          <w:bCs/>
          <w:sz w:val="28"/>
          <w:szCs w:val="28"/>
          <w:lang w:val="de-DE"/>
        </w:rPr>
        <w:t xml:space="preserve"> Preise 2024</w:t>
      </w:r>
    </w:p>
    <w:p w14:paraId="6A593547" w14:textId="77777777" w:rsidR="00F11F62" w:rsidRDefault="00F11F62" w:rsidP="00F11F62">
      <w:pPr>
        <w:jc w:val="center"/>
        <w:rPr>
          <w:rFonts w:ascii="Times New Roman" w:hAnsi="Times New Roman" w:cs="Times New Roman"/>
          <w:lang w:val="de-DE"/>
        </w:rPr>
      </w:pPr>
    </w:p>
    <w:p w14:paraId="2B3CAB95" w14:textId="77777777" w:rsidR="00F11F62" w:rsidRPr="00F11F62" w:rsidRDefault="00F11F62" w:rsidP="00F11F62">
      <w:pPr>
        <w:jc w:val="center"/>
        <w:rPr>
          <w:rFonts w:ascii="Times New Roman" w:hAnsi="Times New Roman" w:cs="Times New Roman"/>
          <w:lang w:val="de-DE"/>
        </w:rPr>
      </w:pPr>
    </w:p>
    <w:p w14:paraId="52131D74" w14:textId="77777777" w:rsidR="00C03AF1" w:rsidRPr="0037457B" w:rsidRDefault="00C03AF1" w:rsidP="0037457B">
      <w:pPr>
        <w:jc w:val="center"/>
        <w:rPr>
          <w:rFonts w:ascii="Times New Roman" w:hAnsi="Times New Roman" w:cs="Times New Roman"/>
          <w:i/>
          <w:iCs/>
          <w:sz w:val="28"/>
          <w:szCs w:val="28"/>
          <w:lang w:val="de-DE"/>
        </w:rPr>
      </w:pPr>
      <w:r w:rsidRPr="0037457B">
        <w:rPr>
          <w:rFonts w:ascii="Times New Roman" w:hAnsi="Times New Roman" w:cs="Times New Roman"/>
          <w:i/>
          <w:iCs/>
          <w:sz w:val="28"/>
          <w:szCs w:val="28"/>
          <w:lang w:val="de-DE"/>
        </w:rPr>
        <w:t>Bereich Physik, Mathematik, Naturwissenschaften und Medizin</w:t>
      </w:r>
    </w:p>
    <w:p w14:paraId="425DD47D" w14:textId="77777777" w:rsidR="00C03AF1" w:rsidRPr="0037457B" w:rsidRDefault="00C03AF1" w:rsidP="0037457B">
      <w:pPr>
        <w:jc w:val="both"/>
        <w:rPr>
          <w:rFonts w:ascii="Times New Roman" w:hAnsi="Times New Roman" w:cs="Times New Roman"/>
          <w:lang w:val="de-DE"/>
        </w:rPr>
      </w:pPr>
    </w:p>
    <w:p w14:paraId="24ADA816" w14:textId="77777777" w:rsidR="00BA5C4F" w:rsidRPr="0037457B" w:rsidRDefault="00BA5C4F" w:rsidP="0037457B">
      <w:pPr>
        <w:jc w:val="both"/>
        <w:rPr>
          <w:rFonts w:ascii="Times New Roman" w:hAnsi="Times New Roman" w:cs="Times New Roman"/>
          <w:b/>
          <w:bCs/>
          <w:lang w:val="de-DE"/>
        </w:rPr>
      </w:pPr>
    </w:p>
    <w:p w14:paraId="2D7C067A" w14:textId="77777777" w:rsidR="00C03AF1" w:rsidRPr="0037457B" w:rsidRDefault="00C03AF1" w:rsidP="0037457B">
      <w:pPr>
        <w:jc w:val="both"/>
        <w:rPr>
          <w:rFonts w:ascii="Times New Roman" w:hAnsi="Times New Roman" w:cs="Times New Roman"/>
          <w:b/>
          <w:bCs/>
          <w:lang w:val="de-DE"/>
        </w:rPr>
      </w:pPr>
      <w:r w:rsidRPr="0037457B">
        <w:rPr>
          <w:rFonts w:ascii="Times New Roman" w:hAnsi="Times New Roman" w:cs="Times New Roman"/>
          <w:b/>
          <w:bCs/>
          <w:lang w:val="de-DE"/>
        </w:rPr>
        <w:t>Biologische Mechanismen des Alterns</w:t>
      </w:r>
    </w:p>
    <w:p w14:paraId="0A114200" w14:textId="77777777" w:rsidR="00C03AF1" w:rsidRPr="0037457B" w:rsidRDefault="00C03AF1" w:rsidP="0037457B">
      <w:pPr>
        <w:jc w:val="both"/>
        <w:rPr>
          <w:rFonts w:ascii="Times New Roman" w:hAnsi="Times New Roman" w:cs="Times New Roman"/>
          <w:lang w:val="de-DE"/>
        </w:rPr>
      </w:pPr>
    </w:p>
    <w:p w14:paraId="373594BB" w14:textId="0419B73E" w:rsidR="00F46F77" w:rsidRPr="0037457B" w:rsidRDefault="004D1900" w:rsidP="0037457B">
      <w:pPr>
        <w:jc w:val="both"/>
        <w:rPr>
          <w:rFonts w:ascii="Times New Roman" w:hAnsi="Times New Roman" w:cs="Times New Roman"/>
          <w:lang w:val="de-DE"/>
        </w:rPr>
      </w:pPr>
      <w:r w:rsidRPr="004D1900">
        <w:rPr>
          <w:rFonts w:ascii="Times New Roman" w:hAnsi="Times New Roman" w:cs="Times New Roman"/>
          <w:lang w:val="de-DE"/>
        </w:rPr>
        <w:t xml:space="preserve">Während man früher glaubte, das Altern sei unvermeidlich und man könne Lebensspanne und Gesundheit nicht verlängern, ist diese Vorstellung in den letzten Jahrzehnten überholt worden und die Forschung über das Altern hat eine neue Dimension erreicht. Zunächst hat sich gezeigt, dass Kalorienrestriktion und anschließend Mutationen in bestimmten Genen das Altern verlangsamen können. Derzeit ist bekannt, dass mehr als 800 Gene die Lebensspanne von Nematoden ( - mikroskopisch kleine, mit bloßem Auge nicht sichtbare Fadenwürmer -) beeinflussen. Es wurden Schlüsselwege der Langlebigkeit identifiziert, die bei allen Arten bemerkenswert überliefert sind. Dazu gehören die Insulin- und </w:t>
      </w:r>
      <w:proofErr w:type="spellStart"/>
      <w:r w:rsidRPr="004D1900">
        <w:rPr>
          <w:rFonts w:ascii="Times New Roman" w:hAnsi="Times New Roman" w:cs="Times New Roman"/>
          <w:lang w:val="de-DE"/>
        </w:rPr>
        <w:t>mTOR</w:t>
      </w:r>
      <w:proofErr w:type="spellEnd"/>
      <w:r w:rsidRPr="004D1900">
        <w:rPr>
          <w:rFonts w:ascii="Times New Roman" w:hAnsi="Times New Roman" w:cs="Times New Roman"/>
          <w:lang w:val="de-DE"/>
        </w:rPr>
        <w:t xml:space="preserve">-Signalwege. Mitochondriale Schäden, die durch oxidativen Stress entstehen, werden ebenfalls mit dem Altern in Verbindung gebracht, obwohl umstritten ist, ob dies die Ursache oder die Folge ist. </w:t>
      </w:r>
      <w:proofErr w:type="spellStart"/>
      <w:r w:rsidRPr="004D1900">
        <w:rPr>
          <w:rFonts w:ascii="Times New Roman" w:hAnsi="Times New Roman" w:cs="Times New Roman"/>
          <w:lang w:val="de-DE"/>
        </w:rPr>
        <w:t>Sirtuine</w:t>
      </w:r>
      <w:proofErr w:type="spellEnd"/>
      <w:r w:rsidRPr="004D1900">
        <w:rPr>
          <w:rFonts w:ascii="Times New Roman" w:hAnsi="Times New Roman" w:cs="Times New Roman"/>
          <w:lang w:val="de-DE"/>
        </w:rPr>
        <w:t xml:space="preserve">, NAD+-Supplementierung, chronische Entzündungen und das Darmmikrobiom beeinflussen alle den Alterungsprozess. Jüngste Studien deuten darauf hin, dass der Verlust epigenetischer Informationen bei Mäusen eine umkehrbare Ursache für die Alterung ist und dass es so möglich ist, die Alterung durch Manipulation des </w:t>
      </w:r>
      <w:proofErr w:type="spellStart"/>
      <w:r w:rsidRPr="004D1900">
        <w:rPr>
          <w:rFonts w:ascii="Times New Roman" w:hAnsi="Times New Roman" w:cs="Times New Roman"/>
          <w:lang w:val="de-DE"/>
        </w:rPr>
        <w:t>Epigenoms</w:t>
      </w:r>
      <w:proofErr w:type="spellEnd"/>
      <w:r w:rsidRPr="004D1900">
        <w:rPr>
          <w:rFonts w:ascii="Times New Roman" w:hAnsi="Times New Roman" w:cs="Times New Roman"/>
          <w:lang w:val="de-DE"/>
        </w:rPr>
        <w:t xml:space="preserve"> zu beschleunigen, zu verlangsamen oder sogar umzukehren.</w:t>
      </w:r>
    </w:p>
    <w:p w14:paraId="1D979E15" w14:textId="77777777" w:rsidR="00F46F77" w:rsidRPr="0037457B" w:rsidRDefault="00F46F77" w:rsidP="0037457B">
      <w:pPr>
        <w:jc w:val="both"/>
        <w:rPr>
          <w:rFonts w:ascii="Times New Roman" w:hAnsi="Times New Roman" w:cs="Times New Roman"/>
          <w:lang w:val="de-DE"/>
        </w:rPr>
      </w:pPr>
    </w:p>
    <w:p w14:paraId="5C983E6E" w14:textId="77777777" w:rsidR="00F46F77" w:rsidRPr="0037457B" w:rsidRDefault="00F46F77" w:rsidP="0037457B">
      <w:pPr>
        <w:jc w:val="both"/>
        <w:rPr>
          <w:rFonts w:ascii="Times New Roman" w:hAnsi="Times New Roman" w:cs="Times New Roman"/>
          <w:lang w:val="de-DE"/>
        </w:rPr>
      </w:pPr>
    </w:p>
    <w:p w14:paraId="579FE1A5" w14:textId="77777777" w:rsidR="00F46F77" w:rsidRPr="0037457B" w:rsidRDefault="00F46F77" w:rsidP="0037457B">
      <w:pPr>
        <w:jc w:val="both"/>
        <w:rPr>
          <w:rFonts w:ascii="Times New Roman" w:hAnsi="Times New Roman" w:cs="Times New Roman"/>
          <w:b/>
          <w:bCs/>
          <w:lang w:val="de-DE"/>
        </w:rPr>
      </w:pPr>
      <w:r w:rsidRPr="0037457B">
        <w:rPr>
          <w:rFonts w:ascii="Times New Roman" w:hAnsi="Times New Roman" w:cs="Times New Roman"/>
          <w:b/>
          <w:bCs/>
          <w:lang w:val="de-DE"/>
        </w:rPr>
        <w:t>Nanoporöse Materialien für Umweltanwendungen</w:t>
      </w:r>
    </w:p>
    <w:p w14:paraId="2BA04F0F" w14:textId="77777777" w:rsidR="00F46F77" w:rsidRPr="0037457B" w:rsidRDefault="00F46F77" w:rsidP="0037457B">
      <w:pPr>
        <w:jc w:val="both"/>
        <w:rPr>
          <w:rFonts w:ascii="Times New Roman" w:hAnsi="Times New Roman" w:cs="Times New Roman"/>
          <w:lang w:val="de-DE"/>
        </w:rPr>
      </w:pPr>
    </w:p>
    <w:p w14:paraId="4005BD4E" w14:textId="77777777" w:rsidR="00F46F77" w:rsidRPr="0037457B" w:rsidRDefault="00F46F77" w:rsidP="0037457B">
      <w:pPr>
        <w:jc w:val="both"/>
        <w:rPr>
          <w:rFonts w:ascii="Times New Roman" w:hAnsi="Times New Roman" w:cs="Times New Roman"/>
          <w:lang w:val="de-DE"/>
        </w:rPr>
      </w:pPr>
      <w:r w:rsidRPr="0037457B">
        <w:rPr>
          <w:rFonts w:ascii="Times New Roman" w:hAnsi="Times New Roman" w:cs="Times New Roman"/>
          <w:lang w:val="de-DE"/>
        </w:rPr>
        <w:t xml:space="preserve">Obwohl sie auch in der Natur vorkommen - wie Zeolithe, die erstmals 1756 in vulkanischem Gestein beschrieben wurden - werden nanoporöse Materialien heute synthetisch hergestellt und stellen eine vielversprechende Entwicklung für zahlreiche Prozesse dar. Aufgrund ihrer Porosität in molekularen und nanometrischen Dimensionen verhalten sie sich wie Molekularsiebe, selektive </w:t>
      </w:r>
      <w:proofErr w:type="spellStart"/>
      <w:r w:rsidRPr="0037457B">
        <w:rPr>
          <w:rFonts w:ascii="Times New Roman" w:hAnsi="Times New Roman" w:cs="Times New Roman"/>
          <w:lang w:val="de-DE"/>
        </w:rPr>
        <w:t>Adsorbtionsmittel</w:t>
      </w:r>
      <w:proofErr w:type="spellEnd"/>
      <w:r w:rsidRPr="0037457B">
        <w:rPr>
          <w:rFonts w:ascii="Times New Roman" w:hAnsi="Times New Roman" w:cs="Times New Roman"/>
          <w:lang w:val="de-DE"/>
        </w:rPr>
        <w:t xml:space="preserve"> und Ionenaustauscher. Sie finden daher sowohl im Labor- als auch im Industriemaßstab vielfältige Anwendung bei der Trenntechnik. </w:t>
      </w:r>
      <w:proofErr w:type="spellStart"/>
      <w:r w:rsidRPr="0037457B">
        <w:rPr>
          <w:rFonts w:ascii="Times New Roman" w:hAnsi="Times New Roman" w:cs="Times New Roman"/>
          <w:lang w:val="de-DE"/>
        </w:rPr>
        <w:t>Katalyseprozesse</w:t>
      </w:r>
      <w:proofErr w:type="spellEnd"/>
      <w:r w:rsidRPr="0037457B">
        <w:rPr>
          <w:rFonts w:ascii="Times New Roman" w:hAnsi="Times New Roman" w:cs="Times New Roman"/>
          <w:lang w:val="de-DE"/>
        </w:rPr>
        <w:t xml:space="preserve">, d. h. die Fähigkeit, die Geschwindigkeit einer chemischen Reaktion zu variieren, profitieren von nanoporösen Materialien, da </w:t>
      </w:r>
      <w:proofErr w:type="gramStart"/>
      <w:r w:rsidRPr="0037457B">
        <w:rPr>
          <w:rFonts w:ascii="Times New Roman" w:hAnsi="Times New Roman" w:cs="Times New Roman"/>
          <w:lang w:val="de-DE"/>
        </w:rPr>
        <w:t>diese immanente katalytische Eigenschaften</w:t>
      </w:r>
      <w:proofErr w:type="gramEnd"/>
      <w:r w:rsidRPr="0037457B">
        <w:rPr>
          <w:rFonts w:ascii="Times New Roman" w:hAnsi="Times New Roman" w:cs="Times New Roman"/>
          <w:lang w:val="de-DE"/>
        </w:rPr>
        <w:t xml:space="preserve"> mit der Fähigkeit kombinieren, selektiv auf bestimmte Moleküle einzuwirken.   </w:t>
      </w:r>
    </w:p>
    <w:p w14:paraId="373C1E6C" w14:textId="77777777" w:rsidR="00F46F77" w:rsidRPr="0037457B" w:rsidRDefault="00F46F77" w:rsidP="0037457B">
      <w:pPr>
        <w:jc w:val="both"/>
        <w:rPr>
          <w:rFonts w:ascii="Times New Roman" w:hAnsi="Times New Roman" w:cs="Times New Roman"/>
          <w:lang w:val="de-DE"/>
        </w:rPr>
      </w:pPr>
      <w:r w:rsidRPr="0037457B">
        <w:rPr>
          <w:rFonts w:ascii="Times New Roman" w:hAnsi="Times New Roman" w:cs="Times New Roman"/>
          <w:lang w:val="de-DE"/>
        </w:rPr>
        <w:t>Die Umweltanwendungen, die von diesen Erkenntnissen Nutzen ziehen können, sind zahlreich und reichen von der mechanischen Energiespeicherung für erneuerbare Quellen bis zur Energierückgewinnung, von der Gasspeicherung bis zur Wasserreinigung.</w:t>
      </w:r>
    </w:p>
    <w:p w14:paraId="1867DAD8" w14:textId="77777777" w:rsidR="00F46F77" w:rsidRPr="0037457B" w:rsidRDefault="00F46F77" w:rsidP="0037457B">
      <w:pPr>
        <w:jc w:val="both"/>
        <w:rPr>
          <w:rFonts w:ascii="Times New Roman" w:hAnsi="Times New Roman" w:cs="Times New Roman"/>
          <w:lang w:val="de-DE"/>
        </w:rPr>
      </w:pPr>
      <w:r w:rsidRPr="0037457B">
        <w:rPr>
          <w:rFonts w:ascii="Times New Roman" w:hAnsi="Times New Roman" w:cs="Times New Roman"/>
          <w:lang w:val="de-DE"/>
        </w:rPr>
        <w:t xml:space="preserve">Jüngste Forschungen und Entdeckungen wie die Synthese von Hybridmaterialien, die Entdeckung von </w:t>
      </w:r>
      <w:proofErr w:type="spellStart"/>
      <w:r w:rsidRPr="0037457B">
        <w:rPr>
          <w:rFonts w:ascii="Times New Roman" w:hAnsi="Times New Roman" w:cs="Times New Roman"/>
          <w:lang w:val="de-DE"/>
        </w:rPr>
        <w:t>Fullerenen</w:t>
      </w:r>
      <w:proofErr w:type="spellEnd"/>
      <w:r w:rsidRPr="0037457B">
        <w:rPr>
          <w:rFonts w:ascii="Times New Roman" w:hAnsi="Times New Roman" w:cs="Times New Roman"/>
          <w:lang w:val="de-DE"/>
        </w:rPr>
        <w:t xml:space="preserve"> und Kohlenstoffnanoröhren (für die </w:t>
      </w:r>
      <w:proofErr w:type="spellStart"/>
      <w:r w:rsidRPr="0037457B">
        <w:rPr>
          <w:rFonts w:ascii="Times New Roman" w:hAnsi="Times New Roman" w:cs="Times New Roman"/>
          <w:lang w:val="de-DE"/>
        </w:rPr>
        <w:t>Sumio</w:t>
      </w:r>
      <w:proofErr w:type="spellEnd"/>
      <w:r w:rsidRPr="0037457B">
        <w:rPr>
          <w:rFonts w:ascii="Times New Roman" w:hAnsi="Times New Roman" w:cs="Times New Roman"/>
          <w:lang w:val="de-DE"/>
        </w:rPr>
        <w:t xml:space="preserve"> </w:t>
      </w:r>
      <w:proofErr w:type="spellStart"/>
      <w:r w:rsidRPr="0037457B">
        <w:rPr>
          <w:rFonts w:ascii="Times New Roman" w:hAnsi="Times New Roman" w:cs="Times New Roman"/>
          <w:lang w:val="de-DE"/>
        </w:rPr>
        <w:t>Iijima</w:t>
      </w:r>
      <w:proofErr w:type="spellEnd"/>
      <w:r w:rsidRPr="0037457B">
        <w:rPr>
          <w:rFonts w:ascii="Times New Roman" w:hAnsi="Times New Roman" w:cs="Times New Roman"/>
          <w:lang w:val="de-DE"/>
        </w:rPr>
        <w:t xml:space="preserve"> 2007 mit dem </w:t>
      </w:r>
      <w:proofErr w:type="spellStart"/>
      <w:r w:rsidRPr="0037457B">
        <w:rPr>
          <w:rFonts w:ascii="Times New Roman" w:hAnsi="Times New Roman" w:cs="Times New Roman"/>
          <w:lang w:val="de-DE"/>
        </w:rPr>
        <w:t>Balzan</w:t>
      </w:r>
      <w:proofErr w:type="spellEnd"/>
      <w:r w:rsidRPr="0037457B">
        <w:rPr>
          <w:rFonts w:ascii="Times New Roman" w:hAnsi="Times New Roman" w:cs="Times New Roman"/>
          <w:lang w:val="de-DE"/>
        </w:rPr>
        <w:t xml:space="preserve"> Preis ausgezeichnet wurde) haben es möglich gemacht, nanoporöse Materialien mit neuen und vielfältigen Eigenschaften zu erhalten, wodurch sich das Anwendungspotenzial erhöht.</w:t>
      </w:r>
    </w:p>
    <w:p w14:paraId="6343607E" w14:textId="77777777" w:rsidR="00C03AF1" w:rsidRPr="0037457B" w:rsidRDefault="00C03AF1" w:rsidP="0037457B">
      <w:pPr>
        <w:jc w:val="both"/>
        <w:rPr>
          <w:rFonts w:ascii="Times New Roman" w:hAnsi="Times New Roman" w:cs="Times New Roman"/>
          <w:lang w:val="de-DE"/>
        </w:rPr>
      </w:pPr>
    </w:p>
    <w:p w14:paraId="2AD99B50" w14:textId="77777777" w:rsidR="00030A5F" w:rsidRPr="0037457B" w:rsidRDefault="00030A5F" w:rsidP="0037457B">
      <w:pPr>
        <w:jc w:val="both"/>
        <w:rPr>
          <w:rFonts w:ascii="Times New Roman" w:hAnsi="Times New Roman" w:cs="Times New Roman"/>
          <w:lang w:val="de-DE"/>
        </w:rPr>
      </w:pPr>
    </w:p>
    <w:p w14:paraId="149BFC95" w14:textId="77777777" w:rsidR="00FE4D52" w:rsidRPr="0037457B" w:rsidRDefault="00FE4D52" w:rsidP="0037457B">
      <w:pPr>
        <w:jc w:val="both"/>
        <w:rPr>
          <w:rFonts w:ascii="Times New Roman" w:hAnsi="Times New Roman" w:cs="Times New Roman"/>
          <w:lang w:val="de-DE"/>
        </w:rPr>
      </w:pPr>
    </w:p>
    <w:p w14:paraId="3F35ACEE" w14:textId="77777777" w:rsidR="00A624E6" w:rsidRPr="0037457B" w:rsidRDefault="00A624E6" w:rsidP="0037457B">
      <w:pPr>
        <w:jc w:val="both"/>
        <w:rPr>
          <w:rFonts w:ascii="Times New Roman" w:hAnsi="Times New Roman" w:cs="Times New Roman"/>
          <w:lang w:val="de-DE"/>
        </w:rPr>
      </w:pPr>
    </w:p>
    <w:sectPr w:rsidR="00A624E6" w:rsidRPr="0037457B" w:rsidSect="002F603E">
      <w:head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70BA0" w14:textId="77777777" w:rsidR="008F7DAF" w:rsidRDefault="008F7DAF" w:rsidP="009C1F8A">
      <w:r>
        <w:separator/>
      </w:r>
    </w:p>
  </w:endnote>
  <w:endnote w:type="continuationSeparator" w:id="0">
    <w:p w14:paraId="5C3E3F96" w14:textId="77777777" w:rsidR="008F7DAF" w:rsidRDefault="008F7DAF" w:rsidP="009C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FCEAC" w14:textId="77777777" w:rsidR="008F7DAF" w:rsidRDefault="008F7DAF" w:rsidP="009C1F8A">
      <w:r>
        <w:separator/>
      </w:r>
    </w:p>
  </w:footnote>
  <w:footnote w:type="continuationSeparator" w:id="0">
    <w:p w14:paraId="708A008F" w14:textId="77777777" w:rsidR="008F7DAF" w:rsidRDefault="008F7DAF" w:rsidP="009C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9085" w14:textId="40EFE138" w:rsidR="009C1F8A" w:rsidRDefault="0002141B" w:rsidP="0002141B">
    <w:pPr>
      <w:pStyle w:val="Intestazione"/>
      <w:jc w:val="center"/>
    </w:pPr>
    <w:r>
      <w:rPr>
        <w:noProof/>
      </w:rPr>
      <w:drawing>
        <wp:inline distT="0" distB="0" distL="0" distR="0" wp14:anchorId="4D9FF2F1" wp14:editId="5D03ED7D">
          <wp:extent cx="2237252" cy="571500"/>
          <wp:effectExtent l="0" t="0" r="0" b="0"/>
          <wp:docPr id="1204741537"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41537" name="Immagine 1" descr="Immagine che contiene testo, Carattere, logo, Elementi grafici&#10;&#10;Descrizione generata automaticamente"/>
                  <pic:cNvPicPr/>
                </pic:nvPicPr>
                <pic:blipFill rotWithShape="1">
                  <a:blip r:embed="rId1">
                    <a:extLst>
                      <a:ext uri="{28A0092B-C50C-407E-A947-70E740481C1C}">
                        <a14:useLocalDpi xmlns:a14="http://schemas.microsoft.com/office/drawing/2010/main" val="0"/>
                      </a:ext>
                    </a:extLst>
                  </a:blip>
                  <a:srcRect b="33333"/>
                  <a:stretch/>
                </pic:blipFill>
                <pic:spPr bwMode="auto">
                  <a:xfrm>
                    <a:off x="0" y="0"/>
                    <a:ext cx="2304640" cy="58871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E6"/>
    <w:rsid w:val="0002141B"/>
    <w:rsid w:val="00030A5F"/>
    <w:rsid w:val="0011655A"/>
    <w:rsid w:val="00147DA8"/>
    <w:rsid w:val="002047CF"/>
    <w:rsid w:val="002F603E"/>
    <w:rsid w:val="0034387A"/>
    <w:rsid w:val="0037457B"/>
    <w:rsid w:val="003C46CC"/>
    <w:rsid w:val="00403E39"/>
    <w:rsid w:val="004D1900"/>
    <w:rsid w:val="004D309A"/>
    <w:rsid w:val="00503C48"/>
    <w:rsid w:val="00562646"/>
    <w:rsid w:val="006E79F2"/>
    <w:rsid w:val="006F493D"/>
    <w:rsid w:val="007515F7"/>
    <w:rsid w:val="007608BD"/>
    <w:rsid w:val="00770349"/>
    <w:rsid w:val="007C4515"/>
    <w:rsid w:val="00812E5F"/>
    <w:rsid w:val="008961A8"/>
    <w:rsid w:val="008F7DAF"/>
    <w:rsid w:val="009C1F8A"/>
    <w:rsid w:val="00A01325"/>
    <w:rsid w:val="00A624E6"/>
    <w:rsid w:val="00B922D0"/>
    <w:rsid w:val="00BA5C4F"/>
    <w:rsid w:val="00C03AF1"/>
    <w:rsid w:val="00C45B09"/>
    <w:rsid w:val="00CC2F97"/>
    <w:rsid w:val="00D87641"/>
    <w:rsid w:val="00F11F62"/>
    <w:rsid w:val="00F46F77"/>
    <w:rsid w:val="00FE4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DED02"/>
  <w15:chartTrackingRefBased/>
  <w15:docId w15:val="{6C3BC5FB-B2BA-924C-B337-DB35A170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1F8A"/>
    <w:pPr>
      <w:tabs>
        <w:tab w:val="center" w:pos="4819"/>
        <w:tab w:val="right" w:pos="9638"/>
      </w:tabs>
    </w:pPr>
  </w:style>
  <w:style w:type="character" w:customStyle="1" w:styleId="IntestazioneCarattere">
    <w:name w:val="Intestazione Carattere"/>
    <w:basedOn w:val="Carpredefinitoparagrafo"/>
    <w:link w:val="Intestazione"/>
    <w:uiPriority w:val="99"/>
    <w:rsid w:val="009C1F8A"/>
    <w:rPr>
      <w:lang w:val="en-GB"/>
    </w:rPr>
  </w:style>
  <w:style w:type="paragraph" w:styleId="Pidipagina">
    <w:name w:val="footer"/>
    <w:basedOn w:val="Normale"/>
    <w:link w:val="PidipaginaCarattere"/>
    <w:unhideWhenUsed/>
    <w:rsid w:val="009C1F8A"/>
    <w:pPr>
      <w:tabs>
        <w:tab w:val="center" w:pos="4819"/>
        <w:tab w:val="right" w:pos="9638"/>
      </w:tabs>
    </w:pPr>
  </w:style>
  <w:style w:type="character" w:customStyle="1" w:styleId="PidipaginaCarattere">
    <w:name w:val="Piè di pagina Carattere"/>
    <w:basedOn w:val="Carpredefinitoparagrafo"/>
    <w:link w:val="Pidipagina"/>
    <w:rsid w:val="009C1F8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366E51-5872-0E41-9FA8-2BF11EABFD5C}">
  <we:reference id="wa200002017" version="1.5.0.0" store="de-DE" storeType="OMEX"/>
  <we:alternateReferences>
    <we:reference id="wa200002017" version="1.5.0.0" store="" storeType="OMEX"/>
  </we:alternateReferences>
  <we:properties>
    <we:property name="ignoredAdviceList" value="&quot;[{\&quot;errorCode\&quot;:\&quot;c006\&quot;,\&quot;originalError\&quot;:\&quot;traditionellen\&quot;},{\&quot;errorCode\&quot;:\&quot;c006\&quot;,\&quot;originalError\&quot;:\&quot;Strafjustiz\&quot;},{\&quot;errorCode\&quot;:\&quot;c006\&quot;,\&quot;originalError\&quot;:\&quot;mehr\&quot;},{\&quot;errorCode\&quot;:\&quot;101\&quot;,\&quot;originalError\&quot;:\&quot;Balzan Preis\&quot;},{\&quot;errorCode\&quot;:\&quot;22\&quot;,\&quot;originalError\&quot;:\&quot;Coulston\&quot;},{\&quot;errorCode\&quot;:\&quot;21\&quot;,\&quot;originalError\&quot;:\&quot;Gillispie\&quot;},{\&quot;errorCode\&quot;:\&quot;101\&quot;,\&quot;originalError\&quot;:\&quot;Balzan Preises\&quot;},{\&quot;errorCode\&quot;:\&quot;166\&quot;,\&quot;originalError\&quot;:\&quot;von\&quot;},{\&quot;errorCode\&quot;:\&quot;21\&quot;,\&quot;originalError\&quot;:\&quot;lectio\&quot;},{\&quot;errorCode\&quot;:\&quot;21\&quot;,\&quot;originalError\&quot;:\&quot;magistralis\&quot;},{\&quot;errorCode\&quot;:\&quot;101\&quot;,\&quot;originalError\&quot;:\&quot;Balzan Preise\&quot;},{\&quot;errorCode\&quot;:\&quot;c006\&quot;,\&quot;originalError\&quot;:\&quot;Ende\&quot;},{\&quot;errorCode\&quot;:\&quot;c006\&quot;,\&quot;originalError\&quot;:\&quot;Geschichte\&quot;},{\&quot;errorCode\&quot;:\&quot;21\&quot;,\&quot;originalError\&quot;:\&quot;mTOR-Signalwege\&quot;},{\&quot;errorCode\&quot;:\&quot;21\&quot;,\&quot;originalError\&quot;:\&quot;Sirtuine\&quot;},{\&quot;errorCode\&quot;:\&quot;21\&quot;,\&quot;originalError\&quot;:\&quot;Epigenoms\&quot;},{\&quot;errorCode\&quot;:\&quot;c006\&quot;,\&quot;originalError\&quot;:\&quot;Altern\&quot;},{\&quot;errorCode\&quot;:\&quot;c006\&quot;,\&quot;originalError\&quot;:\&quot;Genen\&quot;},{\&quot;errorCode\&quot;:\&quot;c006\&quot;,\&quot;originalError\&quot;:\&quot;Alterung\&quot;},{\&quot;errorCode\&quot;:\&quot;170\&quot;,\&quot;originalError\&quot;:\&quot;dar.  Aufgrund\&quot;},{\&quot;errorCode\&quot;:\&quot;21\&quot;,\&quot;originalError\&quot;:\&quot;Adsorbtionsmittel\&quot;},{\&quot;errorCode\&quot;:\&quot;170\&quot;,\&quot;originalError\&quot;:\&quot;einzuwirken.   \&quot;},{\&quot;errorCode\&quot;:\&quot;21\&quot;,\&quot;originalError\&quot;:\&quot;Sumio\&quot;},{\&quot;errorCode\&quot;:\&quot;21\&quot;,\&quot;originalError\&quot;:\&quot;Iijima\&quot;},{\&quot;errorCode\&quot;:\&quot;c006\&quot;,\&quot;originalError\&quot;:\&quot;Fähigkeit\&quot;},{\&quot;errorCode\&quot;:\&quot;c006\&quot;,\&quot;originalError\&quot;:\&quot;Entdeckungen\&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FA150-A2CE-42D0-987B-0263ADD09E7A}">
  <ds:schemaRefs>
    <ds:schemaRef ds:uri="http://schemas.microsoft.com/sharepoint/v3/contenttype/forms"/>
  </ds:schemaRefs>
</ds:datastoreItem>
</file>

<file path=customXml/itemProps2.xml><?xml version="1.0" encoding="utf-8"?>
<ds:datastoreItem xmlns:ds="http://schemas.openxmlformats.org/officeDocument/2006/customXml" ds:itemID="{9FC0D61A-1E8D-45D1-BDBB-E222F195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801</Words>
  <Characters>5381</Characters>
  <Application>Microsoft Office Word</Application>
  <DocSecurity>0</DocSecurity>
  <Lines>95</Lines>
  <Paragraphs>17</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kluever</dc:creator>
  <cp:keywords/>
  <dc:description/>
  <cp:lastModifiedBy>Marcello Foresti</cp:lastModifiedBy>
  <cp:revision>22</cp:revision>
  <cp:lastPrinted>2024-07-19T09:50:00Z</cp:lastPrinted>
  <dcterms:created xsi:type="dcterms:W3CDTF">2024-07-05T15:02:00Z</dcterms:created>
  <dcterms:modified xsi:type="dcterms:W3CDTF">2024-07-19T09:50:00Z</dcterms:modified>
</cp:coreProperties>
</file>