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A7BBB" w14:textId="0101A786" w:rsidR="0025518C" w:rsidRDefault="0004566F">
      <w:pPr>
        <w:tabs>
          <w:tab w:val="left" w:pos="0"/>
        </w:tabs>
        <w:jc w:val="center"/>
        <w:rPr>
          <w:rFonts w:ascii="Times New Roman" w:hAnsi="Times New Roman"/>
          <w:bCs/>
          <w:color w:val="000000"/>
          <w:sz w:val="22"/>
          <w:szCs w:val="22"/>
          <w:u w:val="single"/>
        </w:rPr>
      </w:pPr>
      <w:r>
        <w:rPr>
          <w:rFonts w:ascii="Times New Roman" w:hAnsi="Times New Roman"/>
          <w:sz w:val="22"/>
          <w:szCs w:val="22"/>
        </w:rPr>
        <w:br w:type="textWrapping" w:clear="all"/>
      </w:r>
      <w:r w:rsidR="000C16DF" w:rsidRPr="000C16DF">
        <w:rPr>
          <w:rFonts w:ascii="Times New Roman" w:hAnsi="Times New Roman"/>
          <w:bCs/>
          <w:color w:val="000000"/>
          <w:sz w:val="22"/>
          <w:szCs w:val="22"/>
          <w:u w:val="single"/>
        </w:rPr>
        <w:t>Communiqué de presse – 21 novembre 2024</w:t>
      </w:r>
    </w:p>
    <w:p w14:paraId="6E4E4232" w14:textId="77777777" w:rsidR="000C16DF" w:rsidRPr="000C16DF" w:rsidRDefault="000C16DF">
      <w:pPr>
        <w:tabs>
          <w:tab w:val="left" w:pos="0"/>
        </w:tabs>
        <w:jc w:val="center"/>
        <w:rPr>
          <w:rFonts w:ascii="Times New Roman" w:hAnsi="Times New Roman"/>
          <w:bCs/>
          <w:color w:val="000000"/>
          <w:sz w:val="22"/>
          <w:szCs w:val="22"/>
          <w:u w:val="single"/>
        </w:rPr>
      </w:pPr>
    </w:p>
    <w:p w14:paraId="4853098D" w14:textId="408349E9" w:rsidR="00A15285" w:rsidRDefault="0004566F">
      <w:pPr>
        <w:tabs>
          <w:tab w:val="left" w:pos="0"/>
        </w:tabs>
        <w:jc w:val="center"/>
        <w:rPr>
          <w:rFonts w:ascii="Times New Roman" w:hAnsi="Times New Roman"/>
          <w:i/>
          <w:color w:val="000000"/>
          <w:sz w:val="23"/>
          <w:szCs w:val="23"/>
        </w:rPr>
      </w:pPr>
      <w:r>
        <w:rPr>
          <w:rFonts w:ascii="Times New Roman" w:hAnsi="Times New Roman"/>
          <w:b/>
          <w:color w:val="000000"/>
          <w:sz w:val="28"/>
          <w:szCs w:val="28"/>
        </w:rPr>
        <w:t>Les Prix Balzan 20</w:t>
      </w:r>
      <w:r w:rsidR="0025518C">
        <w:rPr>
          <w:rFonts w:ascii="Times New Roman" w:hAnsi="Times New Roman"/>
          <w:b/>
          <w:color w:val="000000"/>
          <w:sz w:val="28"/>
          <w:szCs w:val="28"/>
        </w:rPr>
        <w:t>24</w:t>
      </w:r>
      <w:r>
        <w:rPr>
          <w:rFonts w:ascii="Times New Roman" w:hAnsi="Times New Roman"/>
          <w:b/>
          <w:color w:val="000000"/>
          <w:sz w:val="28"/>
          <w:szCs w:val="28"/>
        </w:rPr>
        <w:t xml:space="preserve"> décernés à Rome </w:t>
      </w:r>
      <w:r w:rsidR="0025518C">
        <w:rPr>
          <w:rFonts w:ascii="Times New Roman" w:hAnsi="Times New Roman"/>
          <w:b/>
          <w:color w:val="000000"/>
          <w:sz w:val="28"/>
          <w:szCs w:val="28"/>
        </w:rPr>
        <w:t>au Palais du Quirinal</w:t>
      </w:r>
      <w:r>
        <w:rPr>
          <w:rFonts w:ascii="Times New Roman" w:hAnsi="Times New Roman"/>
          <w:b/>
          <w:color w:val="000000"/>
          <w:sz w:val="28"/>
          <w:szCs w:val="28"/>
        </w:rPr>
        <w:t xml:space="preserve">   </w:t>
      </w:r>
      <w:r>
        <w:rPr>
          <w:rFonts w:ascii="Times New Roman" w:hAnsi="Times New Roman"/>
          <w:b/>
          <w:color w:val="000000"/>
          <w:sz w:val="28"/>
          <w:szCs w:val="28"/>
        </w:rPr>
        <w:br w:type="textWrapping" w:clear="all"/>
      </w:r>
      <w:r w:rsidRPr="0025518C">
        <w:rPr>
          <w:rFonts w:ascii="Times New Roman" w:eastAsia="Times New Roman" w:hAnsi="Times New Roman"/>
          <w:i/>
          <w:color w:val="000000"/>
          <w:sz w:val="23"/>
          <w:szCs w:val="23"/>
          <w:lang w:bidi="ar-SA"/>
        </w:rPr>
        <w:t xml:space="preserve">Les prix ont une valeur de 750 000 francs suisses (€ </w:t>
      </w:r>
      <w:r w:rsidR="00454F60" w:rsidRPr="0025518C">
        <w:rPr>
          <w:rFonts w:ascii="Times New Roman" w:eastAsia="Times New Roman" w:hAnsi="Times New Roman"/>
          <w:i/>
          <w:color w:val="000000"/>
          <w:sz w:val="23"/>
          <w:szCs w:val="23"/>
          <w:lang w:bidi="ar-SA"/>
        </w:rPr>
        <w:t>80</w:t>
      </w:r>
      <w:r w:rsidRPr="0025518C">
        <w:rPr>
          <w:rFonts w:ascii="Times New Roman" w:eastAsia="Times New Roman" w:hAnsi="Times New Roman"/>
          <w:i/>
          <w:color w:val="000000"/>
          <w:sz w:val="23"/>
          <w:szCs w:val="23"/>
          <w:lang w:bidi="ar-SA"/>
        </w:rPr>
        <w:t xml:space="preserve">0 000) pour chacune des quatre matières.  </w:t>
      </w:r>
      <w:r w:rsidR="00454F60" w:rsidRPr="0025518C">
        <w:rPr>
          <w:rFonts w:ascii="Times New Roman" w:eastAsia="Times New Roman" w:hAnsi="Times New Roman"/>
          <w:i/>
          <w:color w:val="000000"/>
          <w:sz w:val="23"/>
          <w:szCs w:val="23"/>
          <w:lang w:bidi="ar-SA"/>
        </w:rPr>
        <w:br/>
      </w:r>
      <w:r w:rsidRPr="00896A83">
        <w:rPr>
          <w:rFonts w:ascii="Times New Roman" w:eastAsia="Times New Roman" w:hAnsi="Times New Roman"/>
          <w:i/>
          <w:color w:val="000000"/>
          <w:sz w:val="23"/>
          <w:szCs w:val="23"/>
          <w:lang w:bidi="ar-SA"/>
        </w:rPr>
        <w:t>La moitié de chaque prix doit être destinée par les lauréats à des projets de recherche</w:t>
      </w:r>
    </w:p>
    <w:p w14:paraId="4853098E" w14:textId="6820731A" w:rsidR="00A15285" w:rsidRDefault="00A15285">
      <w:pPr>
        <w:tabs>
          <w:tab w:val="left" w:pos="142"/>
        </w:tabs>
        <w:autoSpaceDE w:val="0"/>
        <w:jc w:val="center"/>
        <w:rPr>
          <w:rFonts w:ascii="Times New Roman" w:hAnsi="Times New Roman"/>
          <w:i/>
          <w:color w:val="000000"/>
          <w:sz w:val="20"/>
          <w:szCs w:val="22"/>
        </w:rPr>
      </w:pPr>
    </w:p>
    <w:p w14:paraId="72EF4E0C" w14:textId="2F3D21DF" w:rsidR="00200C79" w:rsidRPr="00632716" w:rsidRDefault="00200C79" w:rsidP="00200C79">
      <w:pPr>
        <w:tabs>
          <w:tab w:val="left" w:pos="142"/>
        </w:tabs>
        <w:autoSpaceDE w:val="0"/>
        <w:jc w:val="both"/>
        <w:rPr>
          <w:rFonts w:ascii="Times New Roman" w:hAnsi="Times New Roman"/>
          <w:color w:val="000000"/>
          <w:sz w:val="22"/>
          <w:szCs w:val="22"/>
        </w:rPr>
      </w:pPr>
      <w:r w:rsidRPr="00632716">
        <w:rPr>
          <w:rFonts w:ascii="Times New Roman" w:hAnsi="Times New Roman"/>
          <w:color w:val="000000"/>
          <w:sz w:val="22"/>
          <w:szCs w:val="22"/>
        </w:rPr>
        <w:t xml:space="preserve">En présence du Président de la République </w:t>
      </w:r>
      <w:r w:rsidR="007C67B4">
        <w:rPr>
          <w:rFonts w:ascii="Times New Roman" w:hAnsi="Times New Roman"/>
          <w:color w:val="000000"/>
          <w:sz w:val="22"/>
          <w:szCs w:val="22"/>
        </w:rPr>
        <w:t>ita</w:t>
      </w:r>
      <w:r w:rsidR="0025518C">
        <w:rPr>
          <w:rFonts w:ascii="Times New Roman" w:hAnsi="Times New Roman"/>
          <w:color w:val="000000"/>
          <w:sz w:val="22"/>
          <w:szCs w:val="22"/>
        </w:rPr>
        <w:t xml:space="preserve">lienne </w:t>
      </w:r>
      <w:r w:rsidRPr="000C16DF">
        <w:rPr>
          <w:rFonts w:ascii="Times New Roman" w:hAnsi="Times New Roman"/>
          <w:b/>
          <w:bCs/>
          <w:color w:val="000000"/>
          <w:sz w:val="22"/>
          <w:szCs w:val="22"/>
        </w:rPr>
        <w:t>Sergio Mattarella</w:t>
      </w:r>
      <w:r w:rsidRPr="00632716">
        <w:rPr>
          <w:rFonts w:ascii="Times New Roman" w:hAnsi="Times New Roman"/>
          <w:color w:val="000000"/>
          <w:sz w:val="22"/>
          <w:szCs w:val="22"/>
        </w:rPr>
        <w:t xml:space="preserve">, les Prix Balzan ont été remis aujourd'hui à : </w:t>
      </w:r>
      <w:r w:rsidRPr="000C16DF">
        <w:rPr>
          <w:rFonts w:ascii="Times New Roman" w:hAnsi="Times New Roman"/>
          <w:b/>
          <w:bCs/>
          <w:color w:val="000000"/>
          <w:sz w:val="22"/>
          <w:szCs w:val="22"/>
        </w:rPr>
        <w:t>John Braithwaite</w:t>
      </w:r>
      <w:r w:rsidRPr="00632716">
        <w:rPr>
          <w:rFonts w:ascii="Times New Roman" w:hAnsi="Times New Roman"/>
          <w:color w:val="000000"/>
          <w:sz w:val="22"/>
          <w:szCs w:val="22"/>
        </w:rPr>
        <w:t xml:space="preserve"> (Australie), pour la justice réparatrice,</w:t>
      </w:r>
      <w:r w:rsidRPr="00632716">
        <w:rPr>
          <w:rFonts w:ascii="Times New Roman" w:hAnsi="Times New Roman"/>
          <w:color w:val="000000"/>
          <w:sz w:val="22"/>
          <w:szCs w:val="22"/>
        </w:rPr>
        <w:tab/>
      </w:r>
    </w:p>
    <w:p w14:paraId="61921932" w14:textId="77777777" w:rsidR="00200C79" w:rsidRPr="00632716" w:rsidRDefault="00200C79" w:rsidP="00200C79">
      <w:pPr>
        <w:tabs>
          <w:tab w:val="left" w:pos="142"/>
        </w:tabs>
        <w:autoSpaceDE w:val="0"/>
        <w:jc w:val="both"/>
        <w:rPr>
          <w:rFonts w:ascii="Times New Roman" w:hAnsi="Times New Roman"/>
          <w:color w:val="000000"/>
          <w:sz w:val="22"/>
          <w:szCs w:val="22"/>
        </w:rPr>
      </w:pPr>
      <w:r w:rsidRPr="000C16DF">
        <w:rPr>
          <w:rFonts w:ascii="Times New Roman" w:hAnsi="Times New Roman"/>
          <w:b/>
          <w:bCs/>
          <w:color w:val="000000"/>
          <w:sz w:val="22"/>
          <w:szCs w:val="22"/>
        </w:rPr>
        <w:t>Lorraine Daston</w:t>
      </w:r>
      <w:r w:rsidRPr="00632716">
        <w:rPr>
          <w:rFonts w:ascii="Times New Roman" w:hAnsi="Times New Roman"/>
          <w:color w:val="000000"/>
          <w:sz w:val="22"/>
          <w:szCs w:val="22"/>
        </w:rPr>
        <w:t xml:space="preserve"> (Allemagne/États-Unis), pour l'histoire des sciences modernes et contemporaines,</w:t>
      </w:r>
      <w:r w:rsidRPr="00632716">
        <w:rPr>
          <w:rFonts w:ascii="Times New Roman" w:hAnsi="Times New Roman"/>
          <w:color w:val="000000"/>
          <w:sz w:val="22"/>
          <w:szCs w:val="22"/>
        </w:rPr>
        <w:tab/>
      </w:r>
    </w:p>
    <w:p w14:paraId="3CDD704D" w14:textId="77777777" w:rsidR="00200C79" w:rsidRPr="00632716" w:rsidRDefault="00200C79" w:rsidP="00200C79">
      <w:pPr>
        <w:tabs>
          <w:tab w:val="left" w:pos="142"/>
        </w:tabs>
        <w:autoSpaceDE w:val="0"/>
        <w:jc w:val="both"/>
        <w:rPr>
          <w:rFonts w:ascii="Times New Roman" w:hAnsi="Times New Roman"/>
          <w:color w:val="000000"/>
          <w:sz w:val="22"/>
          <w:szCs w:val="22"/>
        </w:rPr>
      </w:pPr>
      <w:r w:rsidRPr="000C16DF">
        <w:rPr>
          <w:rFonts w:ascii="Times New Roman" w:hAnsi="Times New Roman"/>
          <w:b/>
          <w:bCs/>
          <w:color w:val="000000"/>
          <w:sz w:val="22"/>
          <w:szCs w:val="22"/>
        </w:rPr>
        <w:t>Michael N. Hall</w:t>
      </w:r>
      <w:r w:rsidRPr="00632716">
        <w:rPr>
          <w:rFonts w:ascii="Times New Roman" w:hAnsi="Times New Roman"/>
          <w:color w:val="000000"/>
          <w:sz w:val="22"/>
          <w:szCs w:val="22"/>
        </w:rPr>
        <w:t xml:space="preserve"> (Suisse/États-Unis) pour les mécanismes biologiques du vieillissement,</w:t>
      </w:r>
      <w:r w:rsidRPr="00632716">
        <w:rPr>
          <w:rFonts w:ascii="Times New Roman" w:hAnsi="Times New Roman"/>
          <w:color w:val="000000"/>
          <w:sz w:val="22"/>
          <w:szCs w:val="22"/>
        </w:rPr>
        <w:tab/>
      </w:r>
    </w:p>
    <w:p w14:paraId="162A0B59" w14:textId="77777777" w:rsidR="00200C79" w:rsidRPr="00632716" w:rsidRDefault="00200C79" w:rsidP="00200C79">
      <w:pPr>
        <w:tabs>
          <w:tab w:val="left" w:pos="142"/>
        </w:tabs>
        <w:autoSpaceDE w:val="0"/>
        <w:jc w:val="both"/>
        <w:rPr>
          <w:rFonts w:ascii="Times New Roman" w:hAnsi="Times New Roman"/>
          <w:color w:val="000000"/>
          <w:sz w:val="22"/>
          <w:szCs w:val="22"/>
        </w:rPr>
      </w:pPr>
      <w:r w:rsidRPr="000C16DF">
        <w:rPr>
          <w:rFonts w:ascii="Times New Roman" w:hAnsi="Times New Roman"/>
          <w:b/>
          <w:bCs/>
          <w:color w:val="000000"/>
          <w:sz w:val="22"/>
          <w:szCs w:val="22"/>
        </w:rPr>
        <w:t>Omar Yaghi</w:t>
      </w:r>
      <w:r w:rsidRPr="00632716">
        <w:rPr>
          <w:rFonts w:ascii="Times New Roman" w:hAnsi="Times New Roman"/>
          <w:color w:val="000000"/>
          <w:sz w:val="22"/>
          <w:szCs w:val="22"/>
        </w:rPr>
        <w:t xml:space="preserve"> (États-Unis) pour les matériaux nanoporeux pour les applications environnementales.</w:t>
      </w:r>
    </w:p>
    <w:p w14:paraId="660212D9" w14:textId="6E12F05C" w:rsidR="00200C79" w:rsidRPr="00632716" w:rsidRDefault="000C16DF" w:rsidP="00200C79">
      <w:pPr>
        <w:tabs>
          <w:tab w:val="left" w:pos="142"/>
        </w:tabs>
        <w:autoSpaceDE w:val="0"/>
        <w:jc w:val="both"/>
        <w:rPr>
          <w:rFonts w:ascii="Times New Roman" w:hAnsi="Times New Roman"/>
          <w:color w:val="000000"/>
          <w:sz w:val="22"/>
          <w:szCs w:val="22"/>
        </w:rPr>
      </w:pPr>
      <w:r>
        <w:rPr>
          <w:rFonts w:ascii="Times New Roman" w:hAnsi="Times New Roman"/>
          <w:color w:val="000000"/>
          <w:sz w:val="22"/>
          <w:szCs w:val="22"/>
        </w:rPr>
        <w:br/>
      </w:r>
      <w:r w:rsidR="00200C79" w:rsidRPr="00632716">
        <w:rPr>
          <w:rFonts w:ascii="Times New Roman" w:hAnsi="Times New Roman"/>
          <w:color w:val="000000"/>
          <w:sz w:val="22"/>
          <w:szCs w:val="22"/>
        </w:rPr>
        <w:t>La cérémonie de remise des Prix Balzan 2024 s'est déroulée dans le cadre majestueux du Palais du Quirinal</w:t>
      </w:r>
      <w:r w:rsidR="00C53AD4">
        <w:rPr>
          <w:rFonts w:ascii="Times New Roman" w:hAnsi="Times New Roman"/>
          <w:color w:val="000000"/>
          <w:sz w:val="22"/>
          <w:szCs w:val="22"/>
        </w:rPr>
        <w:t xml:space="preserve"> de Rome</w:t>
      </w:r>
      <w:r w:rsidR="00200C79" w:rsidRPr="00632716">
        <w:rPr>
          <w:rFonts w:ascii="Times New Roman" w:hAnsi="Times New Roman"/>
          <w:color w:val="000000"/>
          <w:sz w:val="22"/>
          <w:szCs w:val="22"/>
        </w:rPr>
        <w:t>, où, dans l</w:t>
      </w:r>
      <w:r w:rsidR="000F2939">
        <w:rPr>
          <w:rFonts w:ascii="Times New Roman" w:hAnsi="Times New Roman"/>
          <w:color w:val="000000"/>
          <w:sz w:val="22"/>
          <w:szCs w:val="22"/>
        </w:rPr>
        <w:t>e</w:t>
      </w:r>
      <w:r w:rsidR="00200C79" w:rsidRPr="00632716">
        <w:rPr>
          <w:rFonts w:ascii="Times New Roman" w:hAnsi="Times New Roman"/>
          <w:color w:val="000000"/>
          <w:sz w:val="22"/>
          <w:szCs w:val="22"/>
        </w:rPr>
        <w:t xml:space="preserve"> </w:t>
      </w:r>
      <w:r w:rsidR="004402C8">
        <w:rPr>
          <w:rFonts w:ascii="Times New Roman" w:hAnsi="Times New Roman"/>
          <w:color w:val="000000"/>
          <w:sz w:val="22"/>
          <w:szCs w:val="22"/>
        </w:rPr>
        <w:t>somptueux</w:t>
      </w:r>
      <w:r w:rsidR="00200C79" w:rsidRPr="00632716">
        <w:rPr>
          <w:rFonts w:ascii="Times New Roman" w:hAnsi="Times New Roman"/>
          <w:color w:val="000000"/>
          <w:sz w:val="22"/>
          <w:szCs w:val="22"/>
        </w:rPr>
        <w:t xml:space="preserve"> </w:t>
      </w:r>
      <w:r w:rsidR="000F2939" w:rsidRPr="000F2939">
        <w:rPr>
          <w:rFonts w:ascii="Times New Roman" w:hAnsi="Times New Roman"/>
          <w:color w:val="000000"/>
          <w:sz w:val="22"/>
          <w:szCs w:val="22"/>
        </w:rPr>
        <w:t>Salon des Fêtes</w:t>
      </w:r>
      <w:r w:rsidR="00200C79" w:rsidRPr="00632716">
        <w:rPr>
          <w:rFonts w:ascii="Times New Roman" w:hAnsi="Times New Roman"/>
          <w:color w:val="000000"/>
          <w:sz w:val="22"/>
          <w:szCs w:val="22"/>
        </w:rPr>
        <w:t xml:space="preserve">, les présidentes de la Fondation </w:t>
      </w:r>
      <w:r w:rsidR="00896A83">
        <w:rPr>
          <w:rFonts w:ascii="Times New Roman" w:hAnsi="Times New Roman"/>
          <w:color w:val="000000"/>
          <w:sz w:val="22"/>
          <w:szCs w:val="22"/>
        </w:rPr>
        <w:t>I</w:t>
      </w:r>
      <w:r w:rsidR="00200C79" w:rsidRPr="00632716">
        <w:rPr>
          <w:rFonts w:ascii="Times New Roman" w:hAnsi="Times New Roman"/>
          <w:color w:val="000000"/>
          <w:sz w:val="22"/>
          <w:szCs w:val="22"/>
        </w:rPr>
        <w:t xml:space="preserve">nternationale Balzan « Prix », </w:t>
      </w:r>
      <w:r w:rsidR="00200C79" w:rsidRPr="00896A83">
        <w:rPr>
          <w:rFonts w:ascii="Times New Roman" w:hAnsi="Times New Roman"/>
          <w:b/>
          <w:bCs/>
          <w:color w:val="000000"/>
          <w:sz w:val="22"/>
          <w:szCs w:val="22"/>
        </w:rPr>
        <w:t>Maria Cristina Messa</w:t>
      </w:r>
      <w:r w:rsidR="00200C79" w:rsidRPr="00632716">
        <w:rPr>
          <w:rFonts w:ascii="Times New Roman" w:hAnsi="Times New Roman"/>
          <w:color w:val="000000"/>
          <w:sz w:val="22"/>
          <w:szCs w:val="22"/>
        </w:rPr>
        <w:t xml:space="preserve">, et « Fonds », </w:t>
      </w:r>
      <w:r w:rsidR="00200C79" w:rsidRPr="00896A83">
        <w:rPr>
          <w:rFonts w:ascii="Times New Roman" w:hAnsi="Times New Roman"/>
          <w:b/>
          <w:bCs/>
          <w:color w:val="000000"/>
          <w:sz w:val="22"/>
          <w:szCs w:val="22"/>
        </w:rPr>
        <w:t>Gisèle Girgis-Musy</w:t>
      </w:r>
      <w:r w:rsidR="00200C79" w:rsidRPr="00632716">
        <w:rPr>
          <w:rFonts w:ascii="Times New Roman" w:hAnsi="Times New Roman"/>
          <w:color w:val="000000"/>
          <w:sz w:val="22"/>
          <w:szCs w:val="22"/>
        </w:rPr>
        <w:t xml:space="preserve">, ont prononcé les discours officiels, tandis </w:t>
      </w:r>
      <w:r w:rsidR="002666E6">
        <w:rPr>
          <w:rFonts w:ascii="Times New Roman" w:hAnsi="Times New Roman"/>
          <w:color w:val="000000"/>
          <w:sz w:val="22"/>
          <w:szCs w:val="22"/>
        </w:rPr>
        <w:t xml:space="preserve">tous les </w:t>
      </w:r>
      <w:r w:rsidR="00452DC1">
        <w:rPr>
          <w:rFonts w:ascii="Times New Roman" w:hAnsi="Times New Roman"/>
          <w:color w:val="000000"/>
          <w:sz w:val="22"/>
          <w:szCs w:val="22"/>
        </w:rPr>
        <w:t>l</w:t>
      </w:r>
      <w:r w:rsidR="00200C79" w:rsidRPr="00632716">
        <w:rPr>
          <w:rFonts w:ascii="Times New Roman" w:hAnsi="Times New Roman"/>
          <w:color w:val="000000"/>
          <w:sz w:val="22"/>
          <w:szCs w:val="22"/>
        </w:rPr>
        <w:t>auréat</w:t>
      </w:r>
      <w:r w:rsidR="00452DC1">
        <w:rPr>
          <w:rFonts w:ascii="Times New Roman" w:hAnsi="Times New Roman"/>
          <w:color w:val="000000"/>
          <w:sz w:val="22"/>
          <w:szCs w:val="22"/>
        </w:rPr>
        <w:t>s</w:t>
      </w:r>
      <w:r w:rsidR="00200C79" w:rsidRPr="00632716">
        <w:rPr>
          <w:rFonts w:ascii="Times New Roman" w:hAnsi="Times New Roman"/>
          <w:color w:val="000000"/>
          <w:sz w:val="22"/>
          <w:szCs w:val="22"/>
        </w:rPr>
        <w:t>, présenté</w:t>
      </w:r>
      <w:r w:rsidR="00452DC1">
        <w:rPr>
          <w:rFonts w:ascii="Times New Roman" w:hAnsi="Times New Roman"/>
          <w:color w:val="000000"/>
          <w:sz w:val="22"/>
          <w:szCs w:val="22"/>
        </w:rPr>
        <w:t>s</w:t>
      </w:r>
      <w:r w:rsidR="00200C79" w:rsidRPr="00632716">
        <w:rPr>
          <w:rFonts w:ascii="Times New Roman" w:hAnsi="Times New Roman"/>
          <w:color w:val="000000"/>
          <w:sz w:val="22"/>
          <w:szCs w:val="22"/>
        </w:rPr>
        <w:t xml:space="preserve"> par la présidente du Comité </w:t>
      </w:r>
      <w:r w:rsidR="00896A83">
        <w:rPr>
          <w:rFonts w:ascii="Times New Roman" w:hAnsi="Times New Roman"/>
          <w:color w:val="000000"/>
          <w:sz w:val="22"/>
          <w:szCs w:val="22"/>
        </w:rPr>
        <w:t>G</w:t>
      </w:r>
      <w:r w:rsidR="00200C79" w:rsidRPr="00632716">
        <w:rPr>
          <w:rFonts w:ascii="Times New Roman" w:hAnsi="Times New Roman"/>
          <w:color w:val="000000"/>
          <w:sz w:val="22"/>
          <w:szCs w:val="22"/>
        </w:rPr>
        <w:t xml:space="preserve">énéral des </w:t>
      </w:r>
      <w:r w:rsidR="00896A83">
        <w:rPr>
          <w:rFonts w:ascii="Times New Roman" w:hAnsi="Times New Roman"/>
          <w:color w:val="000000"/>
          <w:sz w:val="22"/>
          <w:szCs w:val="22"/>
        </w:rPr>
        <w:t>P</w:t>
      </w:r>
      <w:r w:rsidR="00200C79" w:rsidRPr="00632716">
        <w:rPr>
          <w:rFonts w:ascii="Times New Roman" w:hAnsi="Times New Roman"/>
          <w:color w:val="000000"/>
          <w:sz w:val="22"/>
          <w:szCs w:val="22"/>
        </w:rPr>
        <w:t xml:space="preserve">rix </w:t>
      </w:r>
      <w:r w:rsidR="00200C79" w:rsidRPr="00896A83">
        <w:rPr>
          <w:rFonts w:ascii="Times New Roman" w:hAnsi="Times New Roman"/>
          <w:b/>
          <w:bCs/>
          <w:color w:val="000000"/>
          <w:sz w:val="22"/>
          <w:szCs w:val="22"/>
        </w:rPr>
        <w:t>Marta Cartabia</w:t>
      </w:r>
      <w:r w:rsidR="00200C79" w:rsidRPr="00632716">
        <w:rPr>
          <w:rFonts w:ascii="Times New Roman" w:hAnsi="Times New Roman"/>
          <w:color w:val="000000"/>
          <w:sz w:val="22"/>
          <w:szCs w:val="22"/>
        </w:rPr>
        <w:t xml:space="preserve">, </w:t>
      </w:r>
      <w:r w:rsidR="00452DC1">
        <w:rPr>
          <w:rFonts w:ascii="Times New Roman" w:hAnsi="Times New Roman"/>
          <w:color w:val="000000"/>
          <w:sz w:val="22"/>
          <w:szCs w:val="22"/>
        </w:rPr>
        <w:t>ont</w:t>
      </w:r>
      <w:r w:rsidR="00200C79" w:rsidRPr="00632716">
        <w:rPr>
          <w:rFonts w:ascii="Times New Roman" w:hAnsi="Times New Roman"/>
          <w:color w:val="000000"/>
          <w:sz w:val="22"/>
          <w:szCs w:val="22"/>
        </w:rPr>
        <w:t xml:space="preserve"> prononcé un discours d'acceptation et de remerciement.</w:t>
      </w:r>
      <w:r w:rsidR="00200C79" w:rsidRPr="00632716">
        <w:rPr>
          <w:rFonts w:ascii="Times New Roman" w:hAnsi="Times New Roman"/>
          <w:color w:val="000000"/>
          <w:sz w:val="22"/>
          <w:szCs w:val="22"/>
        </w:rPr>
        <w:tab/>
      </w:r>
    </w:p>
    <w:p w14:paraId="3B366110" w14:textId="0774D151" w:rsidR="00C76FF2" w:rsidRPr="00632716" w:rsidRDefault="00200C79" w:rsidP="00200C79">
      <w:pPr>
        <w:tabs>
          <w:tab w:val="left" w:pos="142"/>
        </w:tabs>
        <w:autoSpaceDE w:val="0"/>
        <w:jc w:val="both"/>
        <w:rPr>
          <w:rFonts w:ascii="Times New Roman" w:hAnsi="Times New Roman"/>
          <w:color w:val="000000"/>
          <w:sz w:val="22"/>
          <w:szCs w:val="22"/>
        </w:rPr>
      </w:pPr>
      <w:r w:rsidRPr="00632716">
        <w:rPr>
          <w:rFonts w:ascii="Times New Roman" w:hAnsi="Times New Roman"/>
          <w:color w:val="000000"/>
          <w:sz w:val="22"/>
          <w:szCs w:val="22"/>
        </w:rPr>
        <w:t xml:space="preserve">La cérémonie de remise du Prix Balzan a lieu tous les deux ans à Rome, en présence du Président de la République, et à Berne, en présence </w:t>
      </w:r>
      <w:r w:rsidR="00595F6A" w:rsidRPr="00595F6A">
        <w:rPr>
          <w:rFonts w:ascii="Times New Roman" w:hAnsi="Times New Roman"/>
          <w:color w:val="000000"/>
          <w:sz w:val="22"/>
          <w:szCs w:val="22"/>
        </w:rPr>
        <w:t>d’un/e conseiller/ère fédéral/e ou du/de la président/e du Conseil national</w:t>
      </w:r>
      <w:r w:rsidRPr="00632716">
        <w:rPr>
          <w:rFonts w:ascii="Times New Roman" w:hAnsi="Times New Roman"/>
          <w:color w:val="000000"/>
          <w:sz w:val="22"/>
          <w:szCs w:val="22"/>
        </w:rPr>
        <w:t xml:space="preserve">, en raison de la double </w:t>
      </w:r>
      <w:r w:rsidR="00132CFE">
        <w:rPr>
          <w:rFonts w:ascii="Times New Roman" w:hAnsi="Times New Roman"/>
          <w:color w:val="000000"/>
          <w:sz w:val="22"/>
          <w:szCs w:val="22"/>
        </w:rPr>
        <w:t>nature</w:t>
      </w:r>
      <w:r w:rsidRPr="00632716">
        <w:rPr>
          <w:rFonts w:ascii="Times New Roman" w:hAnsi="Times New Roman"/>
          <w:color w:val="000000"/>
          <w:sz w:val="22"/>
          <w:szCs w:val="22"/>
        </w:rPr>
        <w:t xml:space="preserve"> italo-suisse de la Fondation.</w:t>
      </w:r>
      <w:r w:rsidR="009F7718">
        <w:rPr>
          <w:rFonts w:ascii="Times New Roman" w:hAnsi="Times New Roman"/>
          <w:color w:val="000000"/>
          <w:sz w:val="22"/>
          <w:szCs w:val="22"/>
        </w:rPr>
        <w:t xml:space="preserve"> </w:t>
      </w:r>
      <w:r w:rsidR="00C53AD4">
        <w:rPr>
          <w:rFonts w:ascii="Times New Roman" w:hAnsi="Times New Roman"/>
          <w:color w:val="000000"/>
          <w:sz w:val="22"/>
          <w:szCs w:val="22"/>
        </w:rPr>
        <w:tab/>
      </w:r>
      <w:r w:rsidR="00C53AD4">
        <w:rPr>
          <w:rFonts w:ascii="Times New Roman" w:hAnsi="Times New Roman"/>
          <w:color w:val="000000"/>
          <w:sz w:val="22"/>
          <w:szCs w:val="22"/>
        </w:rPr>
        <w:br/>
      </w:r>
      <w:r w:rsidR="00C76FF2" w:rsidRPr="00632716">
        <w:rPr>
          <w:rFonts w:ascii="Times New Roman" w:hAnsi="Times New Roman"/>
          <w:color w:val="000000"/>
          <w:sz w:val="22"/>
          <w:szCs w:val="22"/>
        </w:rPr>
        <w:t xml:space="preserve">La présence dans le siège institutionnel le plus important de la République italienne, dans </w:t>
      </w:r>
      <w:r w:rsidR="00EB3C00">
        <w:rPr>
          <w:rFonts w:ascii="Times New Roman" w:hAnsi="Times New Roman"/>
          <w:color w:val="000000"/>
          <w:sz w:val="22"/>
          <w:szCs w:val="22"/>
        </w:rPr>
        <w:t>le Palais du Quirinal</w:t>
      </w:r>
      <w:r w:rsidR="00C76FF2" w:rsidRPr="00632716">
        <w:rPr>
          <w:rFonts w:ascii="Times New Roman" w:hAnsi="Times New Roman"/>
          <w:color w:val="000000"/>
          <w:sz w:val="22"/>
          <w:szCs w:val="22"/>
        </w:rPr>
        <w:t xml:space="preserve"> que le Président Carlo Azeglio Ciampi appelait, il y a </w:t>
      </w:r>
      <w:r w:rsidR="00354EAC">
        <w:rPr>
          <w:rFonts w:ascii="Times New Roman" w:hAnsi="Times New Roman"/>
          <w:color w:val="000000"/>
          <w:sz w:val="22"/>
          <w:szCs w:val="22"/>
        </w:rPr>
        <w:t>une vingtaine d’années</w:t>
      </w:r>
      <w:r w:rsidR="00C76FF2" w:rsidRPr="00632716">
        <w:rPr>
          <w:rFonts w:ascii="Times New Roman" w:hAnsi="Times New Roman"/>
          <w:color w:val="000000"/>
          <w:sz w:val="22"/>
          <w:szCs w:val="22"/>
        </w:rPr>
        <w:t xml:space="preserve">, « la maison des Italiens », est un signe de l'importance particulière accordée au message de concorde entre les cultures et les nations dont le Prix Balzan est porteur. </w:t>
      </w:r>
    </w:p>
    <w:p w14:paraId="642B691A" w14:textId="77777777" w:rsidR="00FB7676" w:rsidRPr="00632716" w:rsidRDefault="00FB7676" w:rsidP="008457EA">
      <w:pPr>
        <w:tabs>
          <w:tab w:val="left" w:pos="142"/>
        </w:tabs>
        <w:autoSpaceDE w:val="0"/>
        <w:jc w:val="both"/>
        <w:rPr>
          <w:rFonts w:ascii="Times New Roman" w:hAnsi="Times New Roman"/>
          <w:color w:val="000000"/>
          <w:sz w:val="22"/>
          <w:szCs w:val="22"/>
        </w:rPr>
      </w:pPr>
    </w:p>
    <w:p w14:paraId="63615D0E" w14:textId="0CBD4C81" w:rsidR="008457EA" w:rsidRPr="007F7DFD" w:rsidRDefault="008457EA" w:rsidP="008457EA">
      <w:pPr>
        <w:tabs>
          <w:tab w:val="left" w:pos="142"/>
        </w:tabs>
        <w:autoSpaceDE w:val="0"/>
        <w:jc w:val="both"/>
        <w:rPr>
          <w:rFonts w:ascii="Times New Roman" w:hAnsi="Times New Roman"/>
          <w:i/>
          <w:iCs/>
          <w:color w:val="000000"/>
          <w:sz w:val="21"/>
          <w:szCs w:val="21"/>
        </w:rPr>
      </w:pPr>
      <w:r w:rsidRPr="007F7DFD">
        <w:rPr>
          <w:rFonts w:ascii="Times New Roman" w:hAnsi="Times New Roman"/>
          <w:color w:val="000000"/>
          <w:sz w:val="21"/>
          <w:szCs w:val="21"/>
        </w:rPr>
        <w:t xml:space="preserve">Le Prix Balzan 2024 pour la justice réparatrice a été décerné à </w:t>
      </w:r>
      <w:r w:rsidRPr="007F7DFD">
        <w:rPr>
          <w:rFonts w:ascii="Times New Roman" w:hAnsi="Times New Roman"/>
          <w:b/>
          <w:bCs/>
          <w:color w:val="000000"/>
          <w:sz w:val="21"/>
          <w:szCs w:val="21"/>
        </w:rPr>
        <w:t>John Braithwaite</w:t>
      </w:r>
      <w:r w:rsidRPr="007F7DFD">
        <w:rPr>
          <w:rFonts w:ascii="Times New Roman" w:hAnsi="Times New Roman"/>
          <w:color w:val="000000"/>
          <w:sz w:val="21"/>
          <w:szCs w:val="21"/>
        </w:rPr>
        <w:t xml:space="preserve"> </w:t>
      </w:r>
      <w:r w:rsidRPr="007F7DFD">
        <w:rPr>
          <w:rFonts w:ascii="Times New Roman" w:hAnsi="Times New Roman"/>
          <w:i/>
          <w:iCs/>
          <w:color w:val="000000"/>
          <w:sz w:val="21"/>
          <w:szCs w:val="21"/>
        </w:rPr>
        <w:t xml:space="preserve">« </w:t>
      </w:r>
      <w:r w:rsidR="007C67B4" w:rsidRPr="007F7DFD">
        <w:rPr>
          <w:rFonts w:ascii="Times New Roman" w:hAnsi="Times New Roman"/>
          <w:i/>
          <w:iCs/>
          <w:color w:val="000000"/>
          <w:sz w:val="21"/>
          <w:szCs w:val="21"/>
        </w:rPr>
        <w:t xml:space="preserve">Pour sa contribution au développement théorique et à la diffusion de la pratique de la justice réparatrice contemporaine, pour son engagement au service des institutions et de la construction sociale, pour son travail de haute diffusion scientifique et éditoriale, pour sa dédication à l’acculturation des jeunes générations aux valeurs de la justice réparatrice </w:t>
      </w:r>
      <w:r w:rsidRPr="007F7DFD">
        <w:rPr>
          <w:rFonts w:ascii="Times New Roman" w:hAnsi="Times New Roman"/>
          <w:i/>
          <w:iCs/>
          <w:color w:val="000000"/>
          <w:sz w:val="21"/>
          <w:szCs w:val="21"/>
        </w:rPr>
        <w:t>».</w:t>
      </w:r>
    </w:p>
    <w:p w14:paraId="78960BDD" w14:textId="4E9E77FE" w:rsidR="008457EA" w:rsidRPr="007F7DFD" w:rsidRDefault="008457EA" w:rsidP="00D553D1">
      <w:pPr>
        <w:tabs>
          <w:tab w:val="left" w:pos="142"/>
        </w:tabs>
        <w:autoSpaceDE w:val="0"/>
        <w:jc w:val="both"/>
        <w:rPr>
          <w:rFonts w:ascii="Times New Roman" w:hAnsi="Times New Roman"/>
          <w:i/>
          <w:iCs/>
          <w:color w:val="000000"/>
          <w:sz w:val="21"/>
          <w:szCs w:val="21"/>
        </w:rPr>
      </w:pPr>
      <w:r w:rsidRPr="007F7DFD">
        <w:rPr>
          <w:rFonts w:ascii="Times New Roman" w:hAnsi="Times New Roman"/>
          <w:b/>
          <w:bCs/>
          <w:color w:val="000000"/>
          <w:sz w:val="21"/>
          <w:szCs w:val="21"/>
        </w:rPr>
        <w:t>Lorraine Daston</w:t>
      </w:r>
      <w:r w:rsidRPr="007F7DFD">
        <w:rPr>
          <w:rFonts w:ascii="Times New Roman" w:hAnsi="Times New Roman"/>
          <w:color w:val="000000"/>
          <w:sz w:val="21"/>
          <w:szCs w:val="21"/>
        </w:rPr>
        <w:t xml:space="preserve"> a été récompensée, pour l'Histoire des sciences modernes et contemporaines, </w:t>
      </w:r>
      <w:r w:rsidRPr="007F7DFD">
        <w:rPr>
          <w:rFonts w:ascii="Times New Roman" w:hAnsi="Times New Roman"/>
          <w:i/>
          <w:iCs/>
          <w:color w:val="000000"/>
          <w:sz w:val="21"/>
          <w:szCs w:val="21"/>
        </w:rPr>
        <w:t xml:space="preserve">« </w:t>
      </w:r>
      <w:r w:rsidR="00D553D1" w:rsidRPr="007F7DFD">
        <w:rPr>
          <w:rFonts w:ascii="Times New Roman" w:hAnsi="Times New Roman"/>
          <w:i/>
          <w:iCs/>
          <w:color w:val="000000"/>
          <w:sz w:val="21"/>
          <w:szCs w:val="21"/>
        </w:rPr>
        <w:t>Pour l’étendue, l’originalité et la variété de son œuvre qui à partir de domaines scientifiques très divers a su mettre en évidence les représentations mentales et les valeurs sous-jacentes à l’activité de recherche ; pour le nombre et la qualité de ses articles et ouvrages, qui ont ouvert de nouvelles pistes à l’histoire et à l’épistémologie des sciences ; pour sa contribution à la formation de générations de chercheuses et de chercheur</w:t>
      </w:r>
      <w:r w:rsidR="00903DA9">
        <w:rPr>
          <w:rFonts w:ascii="Times New Roman" w:hAnsi="Times New Roman"/>
          <w:i/>
          <w:iCs/>
          <w:color w:val="000000"/>
          <w:sz w:val="21"/>
          <w:szCs w:val="21"/>
        </w:rPr>
        <w:t>s</w:t>
      </w:r>
      <w:r w:rsidR="00D553D1" w:rsidRPr="007F7DFD">
        <w:rPr>
          <w:rFonts w:ascii="Times New Roman" w:hAnsi="Times New Roman"/>
          <w:i/>
          <w:iCs/>
          <w:color w:val="000000"/>
          <w:sz w:val="21"/>
          <w:szCs w:val="21"/>
        </w:rPr>
        <w:t xml:space="preserve"> ; et pour son soutien – en tant que responsable d’institutions prestigieuses – à des projets de recherche innovants </w:t>
      </w:r>
      <w:r w:rsidRPr="007F7DFD">
        <w:rPr>
          <w:rFonts w:ascii="Times New Roman" w:hAnsi="Times New Roman"/>
          <w:i/>
          <w:iCs/>
          <w:color w:val="000000"/>
          <w:sz w:val="21"/>
          <w:szCs w:val="21"/>
        </w:rPr>
        <w:t>».</w:t>
      </w:r>
      <w:r w:rsidRPr="007F7DFD">
        <w:rPr>
          <w:rFonts w:ascii="Times New Roman" w:hAnsi="Times New Roman"/>
          <w:i/>
          <w:iCs/>
          <w:color w:val="000000"/>
          <w:sz w:val="21"/>
          <w:szCs w:val="21"/>
        </w:rPr>
        <w:tab/>
      </w:r>
    </w:p>
    <w:p w14:paraId="7AA9E885" w14:textId="179A0282" w:rsidR="008457EA" w:rsidRPr="007F7DFD" w:rsidRDefault="008457EA" w:rsidP="008457EA">
      <w:pPr>
        <w:tabs>
          <w:tab w:val="left" w:pos="142"/>
        </w:tabs>
        <w:autoSpaceDE w:val="0"/>
        <w:jc w:val="both"/>
        <w:rPr>
          <w:rFonts w:ascii="Times New Roman" w:hAnsi="Times New Roman"/>
          <w:i/>
          <w:iCs/>
          <w:color w:val="000000"/>
          <w:sz w:val="21"/>
          <w:szCs w:val="21"/>
        </w:rPr>
      </w:pPr>
      <w:r w:rsidRPr="007F7DFD">
        <w:rPr>
          <w:rFonts w:ascii="Times New Roman" w:hAnsi="Times New Roman"/>
          <w:b/>
          <w:bCs/>
          <w:color w:val="000000"/>
          <w:sz w:val="21"/>
          <w:szCs w:val="21"/>
        </w:rPr>
        <w:t>Michael N. Hall</w:t>
      </w:r>
      <w:r w:rsidRPr="007F7DFD">
        <w:rPr>
          <w:rFonts w:ascii="Times New Roman" w:hAnsi="Times New Roman"/>
          <w:color w:val="000000"/>
          <w:sz w:val="21"/>
          <w:szCs w:val="21"/>
        </w:rPr>
        <w:t xml:space="preserve"> a reçu le prix pour les mécanismes biologiques du vieillissement</w:t>
      </w:r>
      <w:r w:rsidR="006D3AA1" w:rsidRPr="007F7DFD">
        <w:rPr>
          <w:rFonts w:ascii="Times New Roman" w:hAnsi="Times New Roman"/>
          <w:color w:val="000000"/>
          <w:sz w:val="21"/>
          <w:szCs w:val="21"/>
        </w:rPr>
        <w:t xml:space="preserve"> </w:t>
      </w:r>
      <w:r w:rsidR="006D3AA1" w:rsidRPr="007F7DFD">
        <w:rPr>
          <w:rFonts w:ascii="Times New Roman" w:hAnsi="Times New Roman"/>
          <w:i/>
          <w:iCs/>
          <w:color w:val="000000"/>
          <w:sz w:val="21"/>
          <w:szCs w:val="21"/>
        </w:rPr>
        <w:t>« Pour ses contributions révolutionnaires à notre compréhension des mécanismes moléculaires régulant la croissance cellulaire. Michael Hall a découvert deux protéines, TOR1 et TOR2, qui régulent la croissance cellulaire et le métabolisme en réponse aux nutriments. Ces protéines jouent un rôle central dans le processus de vieillissement et dans le développement de maladies liées au vieillissement telles que le cancer, le diabète et les maladies cardiovasculaires ».</w:t>
      </w:r>
    </w:p>
    <w:p w14:paraId="4853099B" w14:textId="508D75C1" w:rsidR="00A15285" w:rsidRPr="007F7DFD" w:rsidRDefault="008457EA" w:rsidP="008457EA">
      <w:pPr>
        <w:tabs>
          <w:tab w:val="left" w:pos="142"/>
        </w:tabs>
        <w:autoSpaceDE w:val="0"/>
        <w:jc w:val="both"/>
        <w:rPr>
          <w:rFonts w:ascii="Times New Roman" w:hAnsi="Times New Roman"/>
          <w:i/>
          <w:iCs/>
          <w:color w:val="000000"/>
          <w:sz w:val="21"/>
          <w:szCs w:val="21"/>
        </w:rPr>
      </w:pPr>
      <w:r w:rsidRPr="007F7DFD">
        <w:rPr>
          <w:rFonts w:ascii="Times New Roman" w:hAnsi="Times New Roman"/>
          <w:color w:val="000000"/>
          <w:sz w:val="21"/>
          <w:szCs w:val="21"/>
        </w:rPr>
        <w:t xml:space="preserve">Dans le domaine des matériaux nanoporeux pour les applications environnementales, </w:t>
      </w:r>
      <w:r w:rsidRPr="007F7DFD">
        <w:rPr>
          <w:rFonts w:ascii="Times New Roman" w:hAnsi="Times New Roman"/>
          <w:b/>
          <w:bCs/>
          <w:color w:val="000000"/>
          <w:sz w:val="21"/>
          <w:szCs w:val="21"/>
        </w:rPr>
        <w:t>Omar Yaghi</w:t>
      </w:r>
      <w:r w:rsidRPr="007F7DFD">
        <w:rPr>
          <w:rFonts w:ascii="Times New Roman" w:hAnsi="Times New Roman"/>
          <w:color w:val="000000"/>
          <w:sz w:val="21"/>
          <w:szCs w:val="21"/>
        </w:rPr>
        <w:t xml:space="preserve"> a reçu le prix </w:t>
      </w:r>
      <w:r w:rsidRPr="007F7DFD">
        <w:rPr>
          <w:rFonts w:ascii="Times New Roman" w:hAnsi="Times New Roman"/>
          <w:i/>
          <w:iCs/>
          <w:color w:val="000000"/>
          <w:sz w:val="21"/>
          <w:szCs w:val="21"/>
        </w:rPr>
        <w:t xml:space="preserve">« </w:t>
      </w:r>
      <w:r w:rsidR="00595E25" w:rsidRPr="007F7DFD">
        <w:rPr>
          <w:rFonts w:ascii="Times New Roman" w:hAnsi="Times New Roman"/>
          <w:i/>
          <w:iCs/>
          <w:color w:val="000000"/>
          <w:sz w:val="21"/>
          <w:szCs w:val="21"/>
        </w:rPr>
        <w:t>Pour ses contributions révolutionnaires à la découverte et au développement de matériaux à structure nanoporeuse, et pour avoir fait progresser leurs applications dans le captage du carbone, le stockage de l'hydrogène et la récupération de l'eau de l'air du désert. Omar Yaghi a élaboré des principes de conception fondamentaux et des méthodes de synthèse innovantes, créant ainsi deux grandes catégories de matériaux nanoporeux : les réseaux métallo-organiques (MOF) et les structures organiques covalentes (COF). Ces matériaux pionniers sont aujourd'hui à la pointe des efforts mondiaux visant à relever les défis cruciaux auxquels notre planète est confrontée en matière de durabilité et d'environnement</w:t>
      </w:r>
      <w:r w:rsidRPr="007F7DFD">
        <w:rPr>
          <w:rFonts w:ascii="Times New Roman" w:hAnsi="Times New Roman"/>
          <w:i/>
          <w:iCs/>
          <w:color w:val="000000"/>
          <w:sz w:val="21"/>
          <w:szCs w:val="21"/>
        </w:rPr>
        <w:t xml:space="preserve"> ».</w:t>
      </w:r>
    </w:p>
    <w:p w14:paraId="514B9D34" w14:textId="77777777" w:rsidR="008457EA" w:rsidRPr="00632716" w:rsidRDefault="008457EA" w:rsidP="008457EA">
      <w:pPr>
        <w:tabs>
          <w:tab w:val="left" w:pos="142"/>
        </w:tabs>
        <w:autoSpaceDE w:val="0"/>
        <w:jc w:val="both"/>
        <w:rPr>
          <w:rFonts w:ascii="Times New Roman" w:hAnsi="Times New Roman"/>
          <w:color w:val="000000"/>
          <w:sz w:val="22"/>
          <w:szCs w:val="22"/>
        </w:rPr>
      </w:pPr>
    </w:p>
    <w:p w14:paraId="4853099D" w14:textId="0B0F595F" w:rsidR="00A15285" w:rsidRPr="00632716" w:rsidRDefault="0004566F">
      <w:pPr>
        <w:tabs>
          <w:tab w:val="left" w:pos="142"/>
        </w:tabs>
        <w:autoSpaceDE w:val="0"/>
        <w:jc w:val="both"/>
        <w:rPr>
          <w:rFonts w:ascii="Times New Roman" w:hAnsi="Times New Roman"/>
          <w:color w:val="000000"/>
          <w:sz w:val="22"/>
          <w:szCs w:val="22"/>
        </w:rPr>
      </w:pPr>
      <w:r w:rsidRPr="00632716">
        <w:rPr>
          <w:rFonts w:ascii="Times New Roman" w:hAnsi="Times New Roman"/>
          <w:color w:val="000000"/>
          <w:sz w:val="22"/>
          <w:szCs w:val="22"/>
        </w:rPr>
        <w:t xml:space="preserve">Le montant de chacun des Prix Balzan </w:t>
      </w:r>
      <w:r w:rsidR="00FE6411">
        <w:rPr>
          <w:rFonts w:ascii="Times New Roman" w:hAnsi="Times New Roman"/>
          <w:color w:val="000000"/>
          <w:sz w:val="22"/>
          <w:szCs w:val="22"/>
        </w:rPr>
        <w:t xml:space="preserve">2024 </w:t>
      </w:r>
      <w:r w:rsidRPr="00632716">
        <w:rPr>
          <w:rFonts w:ascii="Times New Roman" w:hAnsi="Times New Roman"/>
          <w:color w:val="000000"/>
          <w:sz w:val="22"/>
          <w:szCs w:val="22"/>
        </w:rPr>
        <w:t xml:space="preserve"> s’élève à 750 000 francs suisses (environ € </w:t>
      </w:r>
      <w:r w:rsidR="00FE6411">
        <w:rPr>
          <w:rFonts w:ascii="Times New Roman" w:hAnsi="Times New Roman"/>
          <w:color w:val="000000"/>
          <w:sz w:val="22"/>
          <w:szCs w:val="22"/>
        </w:rPr>
        <w:t>800</w:t>
      </w:r>
      <w:r w:rsidRPr="00632716">
        <w:rPr>
          <w:rFonts w:ascii="Times New Roman" w:hAnsi="Times New Roman"/>
          <w:color w:val="000000"/>
          <w:sz w:val="22"/>
          <w:szCs w:val="22"/>
        </w:rPr>
        <w:t xml:space="preserve"> 000). Les lauréats sont tenus de consacrer la moitié de leur prix au financement de projets de recherche impliquant de jeunes chercheurs.</w:t>
      </w:r>
      <w:r w:rsidR="00FE6411">
        <w:rPr>
          <w:rFonts w:ascii="Times New Roman" w:hAnsi="Times New Roman"/>
          <w:color w:val="000000"/>
          <w:sz w:val="22"/>
          <w:szCs w:val="22"/>
        </w:rPr>
        <w:br/>
      </w:r>
      <w:r w:rsidRPr="00632716">
        <w:rPr>
          <w:rFonts w:ascii="Times New Roman" w:hAnsi="Times New Roman"/>
          <w:color w:val="000000"/>
          <w:sz w:val="22"/>
          <w:szCs w:val="22"/>
        </w:rPr>
        <w:t xml:space="preserve"> </w:t>
      </w:r>
    </w:p>
    <w:p w14:paraId="4853099E" w14:textId="28CC487D" w:rsidR="00A15285" w:rsidRPr="00632716" w:rsidRDefault="0004566F">
      <w:pPr>
        <w:pStyle w:val="StGen1"/>
        <w:tabs>
          <w:tab w:val="left" w:pos="0"/>
        </w:tabs>
        <w:spacing w:before="0" w:after="0"/>
        <w:jc w:val="both"/>
        <w:rPr>
          <w:sz w:val="22"/>
          <w:szCs w:val="22"/>
          <w:lang w:val="fr-FR" w:bidi="ar-SA"/>
        </w:rPr>
      </w:pPr>
      <w:r w:rsidRPr="00632716">
        <w:rPr>
          <w:color w:val="000000"/>
          <w:sz w:val="22"/>
          <w:szCs w:val="22"/>
          <w:lang w:val="fr-FR"/>
        </w:rPr>
        <w:t xml:space="preserve">La Cérémonie </w:t>
      </w:r>
      <w:r w:rsidR="00E97A73">
        <w:rPr>
          <w:color w:val="000000"/>
          <w:sz w:val="22"/>
          <w:szCs w:val="22"/>
          <w:lang w:val="fr-FR"/>
        </w:rPr>
        <w:t>est suivie</w:t>
      </w:r>
      <w:r w:rsidRPr="00896A83">
        <w:rPr>
          <w:color w:val="000000"/>
          <w:sz w:val="22"/>
          <w:szCs w:val="22"/>
          <w:lang w:val="fr-FR" w:bidi="en-US"/>
        </w:rPr>
        <w:t xml:space="preserve">, le </w:t>
      </w:r>
      <w:r w:rsidR="00E97A73" w:rsidRPr="00E97A73">
        <w:rPr>
          <w:color w:val="000000"/>
          <w:sz w:val="22"/>
          <w:szCs w:val="22"/>
          <w:lang w:val="fr-FR" w:bidi="en-US"/>
        </w:rPr>
        <w:t>ve</w:t>
      </w:r>
      <w:r w:rsidR="00E97A73">
        <w:rPr>
          <w:color w:val="000000"/>
          <w:sz w:val="22"/>
          <w:szCs w:val="22"/>
          <w:lang w:val="fr-FR" w:bidi="en-US"/>
        </w:rPr>
        <w:t>ndredi</w:t>
      </w:r>
      <w:r w:rsidRPr="00896A83">
        <w:rPr>
          <w:b/>
          <w:color w:val="000000"/>
          <w:sz w:val="22"/>
          <w:szCs w:val="22"/>
          <w:lang w:val="fr-FR" w:bidi="en-US"/>
        </w:rPr>
        <w:t xml:space="preserve"> </w:t>
      </w:r>
      <w:r w:rsidRPr="00896A83">
        <w:rPr>
          <w:color w:val="000000"/>
          <w:sz w:val="22"/>
          <w:szCs w:val="22"/>
          <w:lang w:val="fr-FR" w:bidi="en-US"/>
        </w:rPr>
        <w:t>22 novembre</w:t>
      </w:r>
      <w:r w:rsidR="00E35DEF" w:rsidRPr="00896A83">
        <w:rPr>
          <w:color w:val="000000"/>
          <w:sz w:val="22"/>
          <w:szCs w:val="22"/>
          <w:lang w:val="fr-FR" w:bidi="en-US"/>
        </w:rPr>
        <w:t>,</w:t>
      </w:r>
      <w:r w:rsidR="00E97A73" w:rsidRPr="00E97A73">
        <w:rPr>
          <w:color w:val="000000"/>
          <w:sz w:val="22"/>
          <w:szCs w:val="22"/>
          <w:lang w:val="fr-FR" w:bidi="en-US"/>
        </w:rPr>
        <w:t xml:space="preserve"> </w:t>
      </w:r>
      <w:r w:rsidRPr="00896A83">
        <w:rPr>
          <w:color w:val="000000"/>
          <w:sz w:val="22"/>
          <w:szCs w:val="22"/>
          <w:lang w:val="fr-FR" w:bidi="en-US"/>
        </w:rPr>
        <w:t xml:space="preserve">par le </w:t>
      </w:r>
      <w:r w:rsidRPr="00896A83">
        <w:rPr>
          <w:b/>
          <w:color w:val="000000"/>
          <w:sz w:val="22"/>
          <w:szCs w:val="22"/>
          <w:lang w:val="fr-FR" w:bidi="en-US"/>
        </w:rPr>
        <w:t>Forum interdisciplinaire des Lauréats Balzan</w:t>
      </w:r>
      <w:r w:rsidRPr="00896A83">
        <w:rPr>
          <w:color w:val="000000"/>
          <w:sz w:val="22"/>
          <w:szCs w:val="22"/>
          <w:lang w:val="fr-FR" w:bidi="en-US"/>
        </w:rPr>
        <w:t>, organisé au siège de l'</w:t>
      </w:r>
      <w:r w:rsidRPr="00896A83">
        <w:rPr>
          <w:b/>
          <w:color w:val="000000"/>
          <w:sz w:val="22"/>
          <w:szCs w:val="22"/>
          <w:lang w:val="fr-FR" w:bidi="en-US"/>
        </w:rPr>
        <w:t>Accademia Nazionale dei Lincei</w:t>
      </w:r>
      <w:r w:rsidR="00CC2125">
        <w:rPr>
          <w:b/>
          <w:color w:val="000000"/>
          <w:sz w:val="22"/>
          <w:szCs w:val="22"/>
          <w:lang w:val="fr-FR" w:bidi="en-US"/>
        </w:rPr>
        <w:t xml:space="preserve">. </w:t>
      </w:r>
      <w:r w:rsidR="00CC2125" w:rsidRPr="00CC2125">
        <w:rPr>
          <w:bCs/>
          <w:color w:val="000000"/>
          <w:sz w:val="22"/>
          <w:szCs w:val="22"/>
          <w:lang w:val="fr-FR" w:bidi="en-US"/>
        </w:rPr>
        <w:t>Le</w:t>
      </w:r>
      <w:r w:rsidRPr="00896A83">
        <w:rPr>
          <w:color w:val="000000"/>
          <w:sz w:val="22"/>
          <w:szCs w:val="22"/>
          <w:lang w:val="fr-FR" w:bidi="en-US"/>
        </w:rPr>
        <w:t xml:space="preserve"> Forum </w:t>
      </w:r>
      <w:r w:rsidR="005200C1">
        <w:rPr>
          <w:color w:val="000000"/>
          <w:sz w:val="22"/>
          <w:szCs w:val="22"/>
          <w:lang w:val="fr-FR" w:bidi="en-US"/>
        </w:rPr>
        <w:t>est</w:t>
      </w:r>
      <w:r w:rsidRPr="00896A83">
        <w:rPr>
          <w:color w:val="000000"/>
          <w:sz w:val="22"/>
          <w:szCs w:val="22"/>
          <w:lang w:val="fr-FR" w:bidi="en-US"/>
        </w:rPr>
        <w:t xml:space="preserve"> l'occasion d'un débat public sur les matières récompensées avec les lauréats eux-mêmes</w:t>
      </w:r>
      <w:r>
        <w:rPr>
          <w:color w:val="000000"/>
          <w:sz w:val="22"/>
          <w:szCs w:val="22"/>
          <w:lang w:val="fr-FR" w:bidi="en-US"/>
        </w:rPr>
        <w:t> :</w:t>
      </w:r>
      <w:r w:rsidR="00A151D5">
        <w:rPr>
          <w:color w:val="000000"/>
          <w:sz w:val="22"/>
          <w:szCs w:val="22"/>
          <w:lang w:val="fr-FR" w:bidi="en-US"/>
        </w:rPr>
        <w:t xml:space="preserve"> </w:t>
      </w:r>
      <w:r w:rsidR="00A151D5" w:rsidRPr="0004566F">
        <w:rPr>
          <w:b/>
          <w:bCs/>
          <w:color w:val="000000"/>
          <w:sz w:val="22"/>
          <w:szCs w:val="22"/>
          <w:u w:val="single"/>
          <w:lang w:val="fr-FR" w:bidi="en-US"/>
        </w:rPr>
        <w:t xml:space="preserve">en direct streaming sur www.balzan.org </w:t>
      </w:r>
      <w:r w:rsidRPr="0004566F">
        <w:rPr>
          <w:b/>
          <w:bCs/>
          <w:color w:val="000000"/>
          <w:sz w:val="22"/>
          <w:szCs w:val="22"/>
          <w:u w:val="single"/>
          <w:lang w:val="fr-FR" w:bidi="en-US"/>
        </w:rPr>
        <w:t xml:space="preserve"> </w:t>
      </w:r>
      <w:r w:rsidR="00CC2125" w:rsidRPr="0004566F">
        <w:rPr>
          <w:b/>
          <w:bCs/>
          <w:color w:val="000000"/>
          <w:sz w:val="22"/>
          <w:szCs w:val="22"/>
          <w:u w:val="single"/>
          <w:lang w:val="fr-FR" w:bidi="en-US"/>
        </w:rPr>
        <w:t>à partir de 10 h 30.</w:t>
      </w:r>
    </w:p>
    <w:sectPr w:rsidR="00A15285" w:rsidRPr="00632716" w:rsidSect="00861AB3">
      <w:headerReference w:type="even" r:id="rId9"/>
      <w:headerReference w:type="default" r:id="rId10"/>
      <w:footerReference w:type="even" r:id="rId11"/>
      <w:footerReference w:type="default" r:id="rId12"/>
      <w:headerReference w:type="first" r:id="rId13"/>
      <w:footerReference w:type="first" r:id="rId14"/>
      <w:pgSz w:w="11906" w:h="16838"/>
      <w:pgMar w:top="284" w:right="680" w:bottom="284" w:left="680"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0157" w14:textId="77777777" w:rsidR="00D8507F" w:rsidRDefault="00D8507F">
      <w:r>
        <w:separator/>
      </w:r>
    </w:p>
  </w:endnote>
  <w:endnote w:type="continuationSeparator" w:id="0">
    <w:p w14:paraId="10E2B609" w14:textId="77777777" w:rsidR="00D8507F" w:rsidRDefault="00D8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font>
  <w:font w:name="Liberation Sans">
    <w:altName w:val="Arial"/>
    <w:charset w:val="00"/>
    <w:family w:val="swiss"/>
    <w:pitch w:val="variable"/>
  </w:font>
  <w:font w:name="Microsoft YaHei">
    <w:panose1 w:val="020B0503020204020204"/>
    <w:charset w:val="00"/>
    <w:family w:val="auto"/>
    <w:pitch w:val="variable"/>
  </w:font>
  <w:font w:name="Tahoma">
    <w:panose1 w:val="020B060403050404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6134" w14:textId="77777777" w:rsidR="002D019F" w:rsidRDefault="002D01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09A2" w14:textId="10A8F393" w:rsidR="00A15285" w:rsidRDefault="0004566F">
    <w:pPr>
      <w:pStyle w:val="Pidipagina"/>
      <w:jc w:val="center"/>
    </w:pPr>
    <w:r>
      <w:rPr>
        <w:rFonts w:ascii="Times New Roman" w:hAnsi="Times New Roman"/>
        <w:sz w:val="20"/>
      </w:rPr>
      <w:t xml:space="preserve">Fondation International Balzan - Bureau de presse: tel +39 </w:t>
    </w:r>
    <w:r w:rsidR="002D019F">
      <w:rPr>
        <w:rFonts w:ascii="Times New Roman" w:hAnsi="Times New Roman"/>
        <w:sz w:val="20"/>
      </w:rPr>
      <w:t>334 168</w:t>
    </w:r>
    <w:r w:rsidR="006B69CB">
      <w:rPr>
        <w:rFonts w:ascii="Times New Roman" w:hAnsi="Times New Roman"/>
        <w:sz w:val="20"/>
      </w:rPr>
      <w:t xml:space="preserve"> 7132</w:t>
    </w:r>
    <w:r>
      <w:rPr>
        <w:rFonts w:ascii="Times New Roman" w:hAnsi="Times New Roman"/>
        <w:sz w:val="20"/>
      </w:rPr>
      <w:t xml:space="preserve">  ufficio.stampa@balzan.it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09A4" w14:textId="77777777" w:rsidR="00A15285" w:rsidRDefault="00A15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FD3A" w14:textId="77777777" w:rsidR="00D8507F" w:rsidRDefault="00D8507F">
      <w:r>
        <w:separator/>
      </w:r>
    </w:p>
  </w:footnote>
  <w:footnote w:type="continuationSeparator" w:id="0">
    <w:p w14:paraId="3D4BD02E" w14:textId="77777777" w:rsidR="00D8507F" w:rsidRDefault="00D8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CC41" w14:textId="77777777" w:rsidR="002D019F" w:rsidRDefault="002D01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09A0" w14:textId="77777777" w:rsidR="00A15285" w:rsidRDefault="004402C8">
    <w:pPr>
      <w:pStyle w:val="Intestazione"/>
      <w:jc w:val="center"/>
    </w:pPr>
    <w:r>
      <w:rPr>
        <w:sz w:val="22"/>
        <w:szCs w:val="22"/>
      </w:rPr>
      <w:pict w14:anchorId="48530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485309A6">
        <v:shape id="{25716956-395C-49B8-810C-DDB64B26029D}" o:spid="_x0000_i1025" type="#_x0000_t75" style="width:44.25pt;height:44.25pt;visibility:visible">
          <v:imagedata r:id="rId1" o:title=""/>
          <v:path o:extrusionok="t" gradientshapeok="f" o:connecttype="segments"/>
        </v:shape>
      </w:pict>
    </w:r>
  </w:p>
  <w:p w14:paraId="485309A1" w14:textId="77777777" w:rsidR="00A15285" w:rsidRDefault="0004566F">
    <w:pPr>
      <w:pStyle w:val="Intestazione"/>
      <w:jc w:val="center"/>
    </w:pPr>
    <w:r>
      <w:t>Fondation Internationale Balzan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09A3" w14:textId="77777777" w:rsidR="00A15285" w:rsidRDefault="00A152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compatSetting w:name="compatibilityMode" w:uri="http://schemas.microsoft.com/office/word" w:val="12"/>
    <w:compatSetting w:name="useWord2013TrackBottomHyphenation" w:uri="http://schemas.microsoft.com/office/word" w:val="1"/>
  </w:compat>
  <w:rsids>
    <w:rsidRoot w:val="00A15285"/>
    <w:rsid w:val="0004566F"/>
    <w:rsid w:val="00085106"/>
    <w:rsid w:val="00086CC7"/>
    <w:rsid w:val="000C16DF"/>
    <w:rsid w:val="000F0B0E"/>
    <w:rsid w:val="000F2939"/>
    <w:rsid w:val="00132CFE"/>
    <w:rsid w:val="00200C79"/>
    <w:rsid w:val="0025518C"/>
    <w:rsid w:val="002666E6"/>
    <w:rsid w:val="002C7C75"/>
    <w:rsid w:val="002D019F"/>
    <w:rsid w:val="00354EAC"/>
    <w:rsid w:val="004402C8"/>
    <w:rsid w:val="00452DC1"/>
    <w:rsid w:val="00454F60"/>
    <w:rsid w:val="004C5988"/>
    <w:rsid w:val="005200C1"/>
    <w:rsid w:val="00525CD4"/>
    <w:rsid w:val="0056274E"/>
    <w:rsid w:val="00595E25"/>
    <w:rsid w:val="00595F6A"/>
    <w:rsid w:val="00632716"/>
    <w:rsid w:val="006A61E4"/>
    <w:rsid w:val="006B69CB"/>
    <w:rsid w:val="006D3AA1"/>
    <w:rsid w:val="007C67B4"/>
    <w:rsid w:val="007E464F"/>
    <w:rsid w:val="007F7DFD"/>
    <w:rsid w:val="008457EA"/>
    <w:rsid w:val="00861AB3"/>
    <w:rsid w:val="00896A83"/>
    <w:rsid w:val="00903DA9"/>
    <w:rsid w:val="009554EC"/>
    <w:rsid w:val="009E0D42"/>
    <w:rsid w:val="009F7718"/>
    <w:rsid w:val="00A151D5"/>
    <w:rsid w:val="00A15285"/>
    <w:rsid w:val="00B56C58"/>
    <w:rsid w:val="00B7715A"/>
    <w:rsid w:val="00B77631"/>
    <w:rsid w:val="00C53AD4"/>
    <w:rsid w:val="00C76FF2"/>
    <w:rsid w:val="00CC153F"/>
    <w:rsid w:val="00CC2125"/>
    <w:rsid w:val="00D553D1"/>
    <w:rsid w:val="00D808F6"/>
    <w:rsid w:val="00D8507F"/>
    <w:rsid w:val="00D91A33"/>
    <w:rsid w:val="00E309E6"/>
    <w:rsid w:val="00E35DEF"/>
    <w:rsid w:val="00E56134"/>
    <w:rsid w:val="00E97A73"/>
    <w:rsid w:val="00EA6C22"/>
    <w:rsid w:val="00EB3C00"/>
    <w:rsid w:val="00F56664"/>
    <w:rsid w:val="00FB067E"/>
    <w:rsid w:val="00FB7676"/>
    <w:rsid w:val="00FE6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3098D"/>
  <w15:docId w15:val="{84453A5E-1BE1-4EC6-8A21-E4D44B6C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omic Sans MS" w:eastAsia="Times" w:hAnsi="Comic Sans MS"/>
      <w:sz w:val="24"/>
      <w:lang w:val="fr-FR"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Gen2">
    <w:name w:val="StGen2"/>
  </w:style>
  <w:style w:type="character" w:customStyle="1" w:styleId="StGen3">
    <w:name w:val="StGen3"/>
    <w:rPr>
      <w:rFonts w:ascii="Courier New" w:hAnsi="Courier New"/>
    </w:rPr>
  </w:style>
  <w:style w:type="character" w:customStyle="1" w:styleId="StGen4">
    <w:name w:val="StGen4"/>
    <w:rPr>
      <w:rFonts w:ascii="Wingdings" w:hAnsi="Wingdings"/>
    </w:rPr>
  </w:style>
  <w:style w:type="character" w:customStyle="1" w:styleId="StGen5">
    <w:name w:val="StGen5"/>
    <w:rPr>
      <w:rFonts w:ascii="Symbol" w:hAnsi="Symbol"/>
    </w:rPr>
  </w:style>
  <w:style w:type="character" w:customStyle="1" w:styleId="StGen6">
    <w:name w:val="StGen6"/>
    <w:rPr>
      <w:rFonts w:ascii="Symbol" w:hAnsi="Symbol"/>
    </w:rPr>
  </w:style>
  <w:style w:type="character" w:customStyle="1" w:styleId="StGen7">
    <w:name w:val="StGen7"/>
    <w:rPr>
      <w:rFonts w:ascii="Courier New" w:hAnsi="Courier New"/>
    </w:rPr>
  </w:style>
  <w:style w:type="character" w:customStyle="1" w:styleId="StGen8">
    <w:name w:val="StGen8"/>
    <w:rPr>
      <w:rFonts w:ascii="Wingdings" w:hAnsi="Wingdings"/>
    </w:rPr>
  </w:style>
  <w:style w:type="character" w:customStyle="1" w:styleId="StGen9">
    <w:name w:val="StGen9"/>
  </w:style>
  <w:style w:type="character" w:customStyle="1" w:styleId="StGen10">
    <w:name w:val="StGen10"/>
    <w:rPr>
      <w:rFonts w:ascii="Courier New" w:hAnsi="Courier New"/>
    </w:rPr>
  </w:style>
  <w:style w:type="character" w:customStyle="1" w:styleId="StGen11">
    <w:name w:val="StGen11"/>
    <w:rPr>
      <w:rFonts w:ascii="Wingdings" w:hAnsi="Wingdings"/>
    </w:rPr>
  </w:style>
  <w:style w:type="character" w:customStyle="1" w:styleId="StGen12">
    <w:name w:val="StGen12"/>
    <w:rPr>
      <w:rFonts w:ascii="Symbol" w:hAnsi="Symbol"/>
    </w:rPr>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rPr>
      <w:rFonts w:ascii="Palatino Linotype" w:hAnsi="Palatino Linotype"/>
    </w:rPr>
  </w:style>
  <w:style w:type="character" w:customStyle="1" w:styleId="StGen29">
    <w:name w:val="StGen29"/>
    <w:rPr>
      <w:rFonts w:ascii="Courier New" w:hAnsi="Courier New"/>
    </w:rPr>
  </w:style>
  <w:style w:type="character" w:customStyle="1" w:styleId="StGen30">
    <w:name w:val="StGen30"/>
    <w:rPr>
      <w:rFonts w:ascii="Wingdings" w:hAnsi="Wingdings"/>
    </w:rPr>
  </w:style>
  <w:style w:type="character" w:customStyle="1" w:styleId="StGen31">
    <w:name w:val="StGen31"/>
    <w:rPr>
      <w:rFonts w:ascii="Symbol" w:hAnsi="Symbol"/>
    </w:rPr>
  </w:style>
  <w:style w:type="character" w:customStyle="1" w:styleId="StGen32">
    <w:name w:val="StGen32"/>
  </w:style>
  <w:style w:type="character" w:customStyle="1" w:styleId="StGen33">
    <w:name w:val="StGen33"/>
    <w:rPr>
      <w:rFonts w:ascii="Courier New" w:hAnsi="Courier New"/>
    </w:rPr>
  </w:style>
  <w:style w:type="character" w:customStyle="1" w:styleId="StGen34">
    <w:name w:val="StGen34"/>
    <w:rPr>
      <w:rFonts w:ascii="Wingdings" w:hAnsi="Wingdings"/>
    </w:rPr>
  </w:style>
  <w:style w:type="character" w:customStyle="1" w:styleId="StGen35">
    <w:name w:val="StGen35"/>
    <w:rPr>
      <w:rFonts w:ascii="Symbol" w:hAnsi="Symbol"/>
    </w:rPr>
  </w:style>
  <w:style w:type="character" w:customStyle="1" w:styleId="StGen36">
    <w:name w:val="StGen36"/>
    <w:rPr>
      <w:rFonts w:ascii="Palatino Linotype" w:hAnsi="Palatino Linotype"/>
    </w:rPr>
  </w:style>
  <w:style w:type="character" w:customStyle="1" w:styleId="StGen37">
    <w:name w:val="StGen37"/>
    <w:rPr>
      <w:rFonts w:ascii="Courier New" w:hAnsi="Courier New"/>
    </w:rPr>
  </w:style>
  <w:style w:type="character" w:customStyle="1" w:styleId="StGen38">
    <w:name w:val="StGen38"/>
    <w:rPr>
      <w:rFonts w:ascii="Wingdings" w:hAnsi="Wingdings"/>
    </w:rPr>
  </w:style>
  <w:style w:type="character" w:customStyle="1" w:styleId="StGen39">
    <w:name w:val="StGen39"/>
    <w:rPr>
      <w:rFonts w:ascii="Symbol" w:hAnsi="Symbol"/>
    </w:rPr>
  </w:style>
  <w:style w:type="character" w:customStyle="1" w:styleId="StGen40">
    <w:name w:val="StGen40"/>
  </w:style>
  <w:style w:type="character" w:customStyle="1" w:styleId="StGen41">
    <w:name w:val="StGen41"/>
    <w:rPr>
      <w:rFonts w:ascii="Courier New" w:hAnsi="Courier New"/>
    </w:rPr>
  </w:style>
  <w:style w:type="character" w:customStyle="1" w:styleId="StGen42">
    <w:name w:val="StGen42"/>
    <w:rPr>
      <w:rFonts w:ascii="Wingdings" w:hAnsi="Wingdings"/>
    </w:rPr>
  </w:style>
  <w:style w:type="character" w:customStyle="1" w:styleId="StGen43">
    <w:name w:val="StGen43"/>
    <w:rPr>
      <w:rFonts w:ascii="Symbol" w:hAnsi="Symbol"/>
    </w:rPr>
  </w:style>
  <w:style w:type="character" w:customStyle="1" w:styleId="StGen44">
    <w:name w:val="StGen44"/>
  </w:style>
  <w:style w:type="character" w:styleId="Collegamentoipertestuale">
    <w:name w:val="Hyperlink"/>
    <w:basedOn w:val="StGen44"/>
    <w:rPr>
      <w:color w:val="0000FF"/>
      <w:u w:val="single"/>
    </w:rPr>
  </w:style>
  <w:style w:type="character" w:customStyle="1" w:styleId="StGen0">
    <w:name w:val="StGen0"/>
    <w:basedOn w:val="StGen44"/>
  </w:style>
  <w:style w:type="character" w:customStyle="1" w:styleId="StGen45">
    <w:name w:val="StGen45"/>
    <w:basedOn w:val="StGen44"/>
  </w:style>
  <w:style w:type="paragraph" w:customStyle="1" w:styleId="StGen46">
    <w:name w:val="StGen46"/>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tabs>
        <w:tab w:val="left" w:pos="142"/>
      </w:tabs>
      <w:autoSpaceDE w:val="0"/>
      <w:jc w:val="both"/>
    </w:pPr>
    <w:rPr>
      <w:color w:val="000000"/>
    </w:rPr>
  </w:style>
  <w:style w:type="paragraph" w:styleId="Elenco">
    <w:name w:val="List"/>
    <w:basedOn w:val="BodyText"/>
  </w:style>
  <w:style w:type="paragraph" w:styleId="Didascalia">
    <w:name w:val="caption"/>
    <w:basedOn w:val="Normale"/>
    <w:pPr>
      <w:suppressLineNumbers/>
      <w:spacing w:before="120" w:after="120"/>
    </w:pPr>
    <w:rPr>
      <w:i/>
      <w:iCs/>
      <w:szCs w:val="24"/>
    </w:rPr>
  </w:style>
  <w:style w:type="paragraph" w:customStyle="1" w:styleId="StGen47">
    <w:name w:val="StGen47"/>
    <w:basedOn w:val="Normale"/>
    <w:pPr>
      <w:suppressLineNumbers/>
    </w:pPr>
  </w:style>
  <w:style w:type="paragraph" w:customStyle="1" w:styleId="StGen1">
    <w:name w:val="StGen1"/>
    <w:basedOn w:val="Normale"/>
    <w:pPr>
      <w:spacing w:before="280" w:after="280"/>
    </w:pPr>
    <w:rPr>
      <w:rFonts w:ascii="Times New Roman" w:eastAsia="Times New Roman" w:hAnsi="Times New Roman"/>
      <w:lang w:val="it-IT"/>
    </w:rPr>
  </w:style>
  <w:style w:type="paragraph" w:styleId="Intestazione">
    <w:name w:val="header"/>
    <w:basedOn w:val="Normale"/>
    <w:pPr>
      <w:tabs>
        <w:tab w:val="center" w:pos="4819"/>
        <w:tab w:val="right" w:pos="9638"/>
      </w:tabs>
    </w:pPr>
    <w:rPr>
      <w:rFonts w:ascii="Times New Roman" w:eastAsia="Times New Roman" w:hAnsi="Times New Roman"/>
      <w:lang w:val="it-IT"/>
    </w:rPr>
  </w:style>
  <w:style w:type="paragraph" w:customStyle="1" w:styleId="StGen48">
    <w:name w:val="StGen48"/>
    <w:basedOn w:val="Normale"/>
    <w:rPr>
      <w:rFonts w:ascii="Tahoma" w:hAnsi="Tahoma"/>
      <w:sz w:val="16"/>
      <w:szCs w:val="16"/>
    </w:rPr>
  </w:style>
  <w:style w:type="paragraph" w:styleId="Pidipagina">
    <w:name w:val="footer"/>
    <w:basedOn w:val="Normale"/>
    <w:pPr>
      <w:tabs>
        <w:tab w:val="center" w:pos="4819"/>
        <w:tab w:val="right" w:pos="9638"/>
      </w:tabs>
    </w:pPr>
  </w:style>
  <w:style w:type="paragraph" w:customStyle="1" w:styleId="StGen49">
    <w:name w:val="StGen49"/>
    <w:basedOn w:val="Normale"/>
    <w:pPr>
      <w:spacing w:before="280" w:after="280"/>
    </w:pPr>
    <w:rPr>
      <w:rFonts w:ascii="Times New Roman" w:eastAsia="MS Mincho" w:hAnsi="Times New Roman"/>
      <w:szCs w:val="24"/>
      <w:lang w:val="it-IT" w:eastAsia="ja-JP"/>
    </w:rPr>
  </w:style>
  <w:style w:type="character" w:styleId="Menzionenonrisolta">
    <w:name w:val="Unresolved Mention"/>
    <w:basedOn w:val="Carpredefinitoparagrafo"/>
    <w:uiPriority w:val="99"/>
    <w:semiHidden/>
    <w:unhideWhenUsed/>
    <w:rsid w:val="00A1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C33CD-A233-4C66-8CF2-EB86F2399D1A}">
  <ds:schemaRefs>
    <ds:schemaRef ds:uri="http://schemas.microsoft.com/sharepoint/v3/contenttype/forms"/>
  </ds:schemaRefs>
</ds:datastoreItem>
</file>

<file path=customXml/itemProps2.xml><?xml version="1.0" encoding="utf-8"?>
<ds:datastoreItem xmlns:ds="http://schemas.openxmlformats.org/officeDocument/2006/customXml" ds:itemID="{E0F793F6-F84D-4A70-A619-6C8717595D1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3.xml><?xml version="1.0" encoding="utf-8"?>
<ds:datastoreItem xmlns:ds="http://schemas.openxmlformats.org/officeDocument/2006/customXml" ds:itemID="{B1C8ACD0-9743-4772-917C-56D77F25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42</cp:revision>
  <dcterms:created xsi:type="dcterms:W3CDTF">2024-11-05T10:27:00Z</dcterms:created>
  <dcterms:modified xsi:type="dcterms:W3CDTF">2024-11-15T08:53:00Z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