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39FCD" w14:textId="77777777" w:rsidR="00350BE8" w:rsidRDefault="00350BE8">
      <w:pPr>
        <w:jc w:val="center"/>
        <w:rPr>
          <w:b/>
          <w:sz w:val="18"/>
          <w:u w:val="single"/>
        </w:rPr>
      </w:pPr>
    </w:p>
    <w:p w14:paraId="44A89199" w14:textId="42827617" w:rsidR="004A7CB5" w:rsidRPr="009C4EB2" w:rsidRDefault="004A7CB5">
      <w:pPr>
        <w:pStyle w:val="StGen0"/>
        <w:tabs>
          <w:tab w:val="left" w:pos="0"/>
        </w:tabs>
        <w:spacing w:before="0" w:after="0"/>
        <w:jc w:val="center"/>
        <w:rPr>
          <w:bCs/>
          <w:sz w:val="20"/>
          <w:szCs w:val="20"/>
          <w:u w:val="single"/>
          <w:lang w:val="en-US"/>
        </w:rPr>
      </w:pPr>
      <w:r w:rsidRPr="009C4EB2">
        <w:rPr>
          <w:bCs/>
          <w:sz w:val="20"/>
          <w:szCs w:val="20"/>
          <w:u w:val="single"/>
          <w:lang w:val="en-US"/>
        </w:rPr>
        <w:t>Press Release – 21 November 2024</w:t>
      </w:r>
    </w:p>
    <w:p w14:paraId="69920523" w14:textId="77777777" w:rsidR="004A7CB5" w:rsidRPr="004A7CB5" w:rsidRDefault="004A7CB5">
      <w:pPr>
        <w:pStyle w:val="StGen0"/>
        <w:tabs>
          <w:tab w:val="left" w:pos="0"/>
        </w:tabs>
        <w:spacing w:before="0" w:after="0"/>
        <w:jc w:val="center"/>
        <w:rPr>
          <w:bCs/>
          <w:sz w:val="22"/>
          <w:szCs w:val="22"/>
          <w:u w:val="single"/>
          <w:lang w:val="en-US"/>
        </w:rPr>
      </w:pPr>
    </w:p>
    <w:p w14:paraId="76A39FCE" w14:textId="2D22EC82" w:rsidR="00350BE8" w:rsidRPr="004A7CB5" w:rsidRDefault="00CB3941">
      <w:pPr>
        <w:pStyle w:val="StGen0"/>
        <w:tabs>
          <w:tab w:val="left" w:pos="0"/>
        </w:tabs>
        <w:spacing w:before="0" w:after="0"/>
        <w:jc w:val="center"/>
        <w:rPr>
          <w:i/>
          <w:color w:val="000000"/>
          <w:lang w:val="en-US" w:bidi="en-US"/>
        </w:rPr>
      </w:pPr>
      <w:r>
        <w:rPr>
          <w:b/>
          <w:sz w:val="28"/>
          <w:szCs w:val="32"/>
          <w:lang w:val="en-US"/>
        </w:rPr>
        <w:t xml:space="preserve">2024 </w:t>
      </w:r>
      <w:r w:rsidR="00566BE9" w:rsidRPr="004A7CB5">
        <w:rPr>
          <w:b/>
          <w:sz w:val="28"/>
          <w:szCs w:val="32"/>
          <w:lang w:val="en-US"/>
        </w:rPr>
        <w:t>Balzan Prize Award</w:t>
      </w:r>
      <w:r w:rsidR="00E77DC8" w:rsidRPr="00E77DC8">
        <w:rPr>
          <w:b/>
          <w:sz w:val="28"/>
          <w:szCs w:val="32"/>
          <w:lang w:val="en-US"/>
        </w:rPr>
        <w:t>s</w:t>
      </w:r>
      <w:r w:rsidR="00566BE9" w:rsidRPr="004A7CB5">
        <w:rPr>
          <w:b/>
          <w:sz w:val="28"/>
          <w:szCs w:val="32"/>
          <w:lang w:val="en-US"/>
        </w:rPr>
        <w:t xml:space="preserve"> Ceremony </w:t>
      </w:r>
      <w:r w:rsidR="009C4EB2">
        <w:rPr>
          <w:b/>
          <w:sz w:val="28"/>
          <w:szCs w:val="32"/>
          <w:lang w:val="en-US"/>
        </w:rPr>
        <w:t>at</w:t>
      </w:r>
      <w:r w:rsidR="005E430D">
        <w:rPr>
          <w:b/>
          <w:sz w:val="28"/>
          <w:szCs w:val="32"/>
          <w:lang w:val="en-US"/>
        </w:rPr>
        <w:t xml:space="preserve"> the Quirinale Palace in Rome</w:t>
      </w:r>
      <w:r w:rsidR="00566BE9" w:rsidRPr="004A7CB5">
        <w:rPr>
          <w:b/>
          <w:sz w:val="32"/>
          <w:szCs w:val="32"/>
          <w:lang w:val="en-US"/>
        </w:rPr>
        <w:br w:type="textWrapping" w:clear="all"/>
      </w:r>
      <w:r w:rsidR="00566BE9" w:rsidRPr="004A7CB5">
        <w:rPr>
          <w:i/>
          <w:color w:val="000000"/>
          <w:lang w:val="en-US" w:bidi="en-US"/>
        </w:rPr>
        <w:t>750,000 Swiss Francs (</w:t>
      </w:r>
      <w:r w:rsidR="00566BE9" w:rsidRPr="004A7CB5">
        <w:rPr>
          <w:i/>
          <w:iCs/>
          <w:color w:val="000000"/>
          <w:lang w:val="en-US" w:bidi="en-US"/>
        </w:rPr>
        <w:t xml:space="preserve">€ </w:t>
      </w:r>
      <w:r w:rsidR="00FA1E60" w:rsidRPr="00FA1E60">
        <w:rPr>
          <w:i/>
          <w:iCs/>
          <w:color w:val="000000"/>
          <w:lang w:val="en-US" w:bidi="en-US"/>
        </w:rPr>
        <w:t>80</w:t>
      </w:r>
      <w:r w:rsidR="00FA1E60">
        <w:rPr>
          <w:i/>
          <w:iCs/>
          <w:color w:val="000000"/>
          <w:lang w:val="en-US" w:bidi="en-US"/>
        </w:rPr>
        <w:t>0</w:t>
      </w:r>
      <w:r w:rsidR="00566BE9" w:rsidRPr="004A7CB5">
        <w:rPr>
          <w:i/>
          <w:iCs/>
          <w:color w:val="000000"/>
          <w:lang w:val="en-US" w:bidi="en-US"/>
        </w:rPr>
        <w:t>,000; $</w:t>
      </w:r>
      <w:r w:rsidR="00A07B4D" w:rsidRPr="00A07B4D">
        <w:rPr>
          <w:i/>
          <w:iCs/>
          <w:color w:val="000000"/>
          <w:lang w:val="en-US" w:bidi="en-US"/>
        </w:rPr>
        <w:t>8</w:t>
      </w:r>
      <w:r w:rsidR="00A86497">
        <w:rPr>
          <w:i/>
          <w:iCs/>
          <w:color w:val="000000"/>
          <w:lang w:val="en-US" w:bidi="en-US"/>
        </w:rPr>
        <w:t>7</w:t>
      </w:r>
      <w:r w:rsidR="00566BE9" w:rsidRPr="004A7CB5">
        <w:rPr>
          <w:i/>
          <w:iCs/>
          <w:color w:val="000000"/>
          <w:lang w:val="en-US" w:bidi="en-US"/>
        </w:rPr>
        <w:t>0,000</w:t>
      </w:r>
      <w:r w:rsidR="00BF054B">
        <w:rPr>
          <w:i/>
          <w:iCs/>
          <w:color w:val="000000"/>
          <w:lang w:val="en-US" w:bidi="en-US"/>
        </w:rPr>
        <w:t>; GBP 670.000</w:t>
      </w:r>
      <w:r w:rsidR="00566BE9" w:rsidRPr="004A7CB5">
        <w:rPr>
          <w:i/>
          <w:color w:val="000000"/>
          <w:lang w:val="en-US" w:bidi="en-US"/>
        </w:rPr>
        <w:t xml:space="preserve">) for each of the four annual awards </w:t>
      </w:r>
    </w:p>
    <w:p w14:paraId="76A39FCF" w14:textId="77777777" w:rsidR="00350BE8" w:rsidRPr="004A7CB5" w:rsidRDefault="00566BE9">
      <w:pPr>
        <w:pStyle w:val="StGen0"/>
        <w:tabs>
          <w:tab w:val="left" w:pos="0"/>
        </w:tabs>
        <w:spacing w:before="0" w:after="0"/>
        <w:jc w:val="center"/>
        <w:rPr>
          <w:i/>
          <w:color w:val="000000"/>
          <w:lang w:val="en-US" w:bidi="en-US"/>
        </w:rPr>
      </w:pPr>
      <w:r w:rsidRPr="004A7CB5">
        <w:rPr>
          <w:i/>
          <w:color w:val="000000"/>
          <w:lang w:val="en-US" w:bidi="en-US"/>
        </w:rPr>
        <w:t>Half of the amount must be destined by the winners to research projects</w:t>
      </w:r>
    </w:p>
    <w:p w14:paraId="76A39FD1" w14:textId="77777777" w:rsidR="00350BE8" w:rsidRPr="004A7CB5" w:rsidRDefault="00350BE8">
      <w:pPr>
        <w:pStyle w:val="StGen0"/>
        <w:tabs>
          <w:tab w:val="left" w:pos="0"/>
        </w:tabs>
        <w:spacing w:before="0" w:after="0"/>
        <w:jc w:val="center"/>
        <w:rPr>
          <w:bCs/>
          <w:i/>
          <w:color w:val="000000"/>
          <w:sz w:val="20"/>
          <w:lang w:val="en-US" w:bidi="en-US"/>
        </w:rPr>
      </w:pPr>
    </w:p>
    <w:p w14:paraId="17FB77B7" w14:textId="67F6B360" w:rsidR="0066591D" w:rsidRPr="004A7CB5" w:rsidRDefault="00566BE9" w:rsidP="0066591D">
      <w:pPr>
        <w:tabs>
          <w:tab w:val="left" w:pos="142"/>
        </w:tabs>
        <w:autoSpaceDE w:val="0"/>
        <w:jc w:val="both"/>
        <w:rPr>
          <w:rStyle w:val="StGen1"/>
          <w:bCs/>
          <w:sz w:val="22"/>
          <w:szCs w:val="22"/>
          <w:lang w:val="en-US" w:bidi="en-US"/>
        </w:rPr>
      </w:pPr>
      <w:r w:rsidRPr="004A7CB5">
        <w:rPr>
          <w:iCs/>
          <w:color w:val="000000"/>
          <w:sz w:val="22"/>
          <w:szCs w:val="22"/>
          <w:lang w:val="en-US" w:bidi="en-US"/>
        </w:rPr>
        <w:t xml:space="preserve">The Balzan Prizes </w:t>
      </w:r>
      <w:r w:rsidR="0066591D" w:rsidRPr="004A7CB5">
        <w:rPr>
          <w:iCs/>
          <w:color w:val="000000"/>
          <w:sz w:val="22"/>
          <w:szCs w:val="22"/>
          <w:lang w:val="en-US" w:bidi="en-US"/>
        </w:rPr>
        <w:t>2024</w:t>
      </w:r>
      <w:r w:rsidRPr="004A7CB5">
        <w:rPr>
          <w:iCs/>
          <w:color w:val="000000"/>
          <w:sz w:val="22"/>
          <w:szCs w:val="22"/>
          <w:lang w:val="en-US" w:bidi="en-US"/>
        </w:rPr>
        <w:t xml:space="preserve"> were presented today</w:t>
      </w:r>
      <w:r w:rsidRPr="004A7CB5">
        <w:rPr>
          <w:bCs/>
          <w:iCs/>
          <w:color w:val="000000"/>
          <w:sz w:val="22"/>
          <w:szCs w:val="22"/>
          <w:lang w:val="en-US" w:bidi="en-US"/>
        </w:rPr>
        <w:t xml:space="preserve"> </w:t>
      </w:r>
      <w:r w:rsidR="004748FA" w:rsidRPr="00A855EC">
        <w:rPr>
          <w:bCs/>
          <w:iCs/>
          <w:color w:val="000000"/>
          <w:sz w:val="22"/>
          <w:szCs w:val="22"/>
          <w:lang w:val="en-US" w:bidi="en-US"/>
        </w:rPr>
        <w:t>to</w:t>
      </w:r>
      <w:r w:rsidR="006932F4" w:rsidRPr="00A855EC">
        <w:rPr>
          <w:bCs/>
          <w:iCs/>
          <w:color w:val="000000"/>
          <w:sz w:val="22"/>
          <w:szCs w:val="22"/>
          <w:lang w:val="en-US" w:bidi="en-US"/>
        </w:rPr>
        <w:t>:</w:t>
      </w:r>
      <w:r w:rsidR="006932F4" w:rsidRPr="00A855EC">
        <w:rPr>
          <w:bCs/>
          <w:iCs/>
          <w:color w:val="000000"/>
          <w:sz w:val="22"/>
          <w:szCs w:val="22"/>
          <w:lang w:val="en-US" w:bidi="en-US"/>
        </w:rPr>
        <w:tab/>
      </w:r>
      <w:r w:rsidR="006932F4" w:rsidRPr="00A855EC">
        <w:rPr>
          <w:bCs/>
          <w:iCs/>
          <w:color w:val="000000"/>
          <w:sz w:val="22"/>
          <w:szCs w:val="22"/>
          <w:lang w:val="en-US" w:bidi="en-US"/>
        </w:rPr>
        <w:br/>
      </w:r>
      <w:r w:rsidR="0066591D" w:rsidRPr="004A7CB5">
        <w:rPr>
          <w:rStyle w:val="StGen1"/>
          <w:b/>
          <w:sz w:val="22"/>
          <w:szCs w:val="22"/>
          <w:lang w:val="en-US" w:bidi="en-US"/>
        </w:rPr>
        <w:t xml:space="preserve">John Braithwaite </w:t>
      </w:r>
      <w:r w:rsidR="0066591D" w:rsidRPr="004A7CB5">
        <w:rPr>
          <w:rStyle w:val="StGen1"/>
          <w:bCs/>
          <w:sz w:val="22"/>
          <w:szCs w:val="22"/>
          <w:lang w:val="en-US" w:bidi="en-US"/>
        </w:rPr>
        <w:t>(Australia) for Restorative Justice,</w:t>
      </w:r>
    </w:p>
    <w:p w14:paraId="252C5916" w14:textId="77777777" w:rsidR="0066591D" w:rsidRPr="004A7CB5" w:rsidRDefault="0066591D" w:rsidP="0066591D">
      <w:pPr>
        <w:tabs>
          <w:tab w:val="left" w:pos="142"/>
        </w:tabs>
        <w:autoSpaceDE w:val="0"/>
        <w:jc w:val="both"/>
        <w:rPr>
          <w:rStyle w:val="StGen1"/>
          <w:bCs/>
          <w:sz w:val="22"/>
          <w:szCs w:val="22"/>
          <w:lang w:val="en-US" w:bidi="en-US"/>
        </w:rPr>
      </w:pPr>
      <w:r w:rsidRPr="004A7CB5">
        <w:rPr>
          <w:rStyle w:val="StGen1"/>
          <w:b/>
          <w:sz w:val="22"/>
          <w:szCs w:val="22"/>
          <w:lang w:val="en-US" w:bidi="en-US"/>
        </w:rPr>
        <w:t xml:space="preserve">Lorraine Daston </w:t>
      </w:r>
      <w:r w:rsidRPr="004A7CB5">
        <w:rPr>
          <w:rStyle w:val="StGen1"/>
          <w:bCs/>
          <w:sz w:val="22"/>
          <w:szCs w:val="22"/>
          <w:lang w:val="en-US" w:bidi="en-US"/>
        </w:rPr>
        <w:t>(Germany/USA) for History of Modern and Contemporary Science,</w:t>
      </w:r>
    </w:p>
    <w:p w14:paraId="31625DE9" w14:textId="77777777" w:rsidR="0066591D" w:rsidRPr="004A7CB5" w:rsidRDefault="0066591D" w:rsidP="0066591D">
      <w:pPr>
        <w:tabs>
          <w:tab w:val="left" w:pos="142"/>
        </w:tabs>
        <w:autoSpaceDE w:val="0"/>
        <w:jc w:val="both"/>
        <w:rPr>
          <w:rStyle w:val="StGen1"/>
          <w:b/>
          <w:sz w:val="22"/>
          <w:szCs w:val="22"/>
          <w:lang w:val="en-US" w:bidi="en-US"/>
        </w:rPr>
      </w:pPr>
      <w:r w:rsidRPr="004A7CB5">
        <w:rPr>
          <w:rStyle w:val="StGen1"/>
          <w:b/>
          <w:sz w:val="22"/>
          <w:szCs w:val="22"/>
          <w:lang w:val="en-US" w:bidi="en-US"/>
        </w:rPr>
        <w:t xml:space="preserve">Michael N. Hall </w:t>
      </w:r>
      <w:r w:rsidRPr="004A7CB5">
        <w:rPr>
          <w:rStyle w:val="StGen1"/>
          <w:bCs/>
          <w:sz w:val="22"/>
          <w:szCs w:val="22"/>
          <w:lang w:val="en-US" w:bidi="en-US"/>
        </w:rPr>
        <w:t>(Switzerland/USA) for Biological Mechanisms of Ageing,</w:t>
      </w:r>
    </w:p>
    <w:p w14:paraId="76A39FD5" w14:textId="28C2B57D" w:rsidR="00350BE8" w:rsidRPr="00D618C3" w:rsidRDefault="0066591D" w:rsidP="0066591D">
      <w:pPr>
        <w:tabs>
          <w:tab w:val="left" w:pos="142"/>
        </w:tabs>
        <w:autoSpaceDE w:val="0"/>
        <w:jc w:val="both"/>
        <w:rPr>
          <w:rStyle w:val="StGen1"/>
          <w:bCs/>
          <w:sz w:val="22"/>
          <w:szCs w:val="22"/>
          <w:lang w:val="en-US" w:bidi="en-US"/>
        </w:rPr>
      </w:pPr>
      <w:r w:rsidRPr="004A7CB5">
        <w:rPr>
          <w:rStyle w:val="StGen1"/>
          <w:b/>
          <w:sz w:val="22"/>
          <w:szCs w:val="22"/>
          <w:lang w:val="en-US" w:bidi="en-US"/>
        </w:rPr>
        <w:t xml:space="preserve">Omar Yaghi </w:t>
      </w:r>
      <w:r w:rsidRPr="004A7CB5">
        <w:rPr>
          <w:rStyle w:val="StGen1"/>
          <w:bCs/>
          <w:sz w:val="22"/>
          <w:szCs w:val="22"/>
          <w:lang w:val="en-US" w:bidi="en-US"/>
        </w:rPr>
        <w:t>(USA)</w:t>
      </w:r>
      <w:r w:rsidR="00D618C3" w:rsidRPr="00D618C3">
        <w:rPr>
          <w:rStyle w:val="StGen1"/>
          <w:bCs/>
          <w:sz w:val="22"/>
          <w:szCs w:val="22"/>
          <w:lang w:val="en-US" w:bidi="en-US"/>
        </w:rPr>
        <w:t xml:space="preserve"> </w:t>
      </w:r>
      <w:r w:rsidRPr="004A7CB5">
        <w:rPr>
          <w:rStyle w:val="StGen1"/>
          <w:bCs/>
          <w:sz w:val="22"/>
          <w:szCs w:val="22"/>
          <w:lang w:val="en-US" w:bidi="en-US"/>
        </w:rPr>
        <w:t>for Nanoporous Materials for Environmental Applications.</w:t>
      </w:r>
    </w:p>
    <w:p w14:paraId="44600042" w14:textId="77777777" w:rsidR="008A6405" w:rsidRPr="00D618C3" w:rsidRDefault="008A6405" w:rsidP="0066591D">
      <w:pPr>
        <w:tabs>
          <w:tab w:val="left" w:pos="142"/>
        </w:tabs>
        <w:autoSpaceDE w:val="0"/>
        <w:jc w:val="both"/>
        <w:rPr>
          <w:rStyle w:val="StGen1"/>
          <w:bCs/>
          <w:sz w:val="22"/>
          <w:szCs w:val="22"/>
          <w:lang w:val="en-US" w:bidi="en-US"/>
        </w:rPr>
      </w:pPr>
    </w:p>
    <w:p w14:paraId="064EFF34" w14:textId="7C14B78E" w:rsidR="00E77DC8" w:rsidRPr="00A855EC" w:rsidRDefault="00E77DC8" w:rsidP="00E77DC8">
      <w:pPr>
        <w:tabs>
          <w:tab w:val="left" w:pos="142"/>
        </w:tabs>
        <w:autoSpaceDE w:val="0"/>
        <w:jc w:val="both"/>
        <w:rPr>
          <w:sz w:val="22"/>
          <w:szCs w:val="22"/>
          <w:lang w:val="en-US"/>
        </w:rPr>
      </w:pPr>
      <w:r w:rsidRPr="00A855EC">
        <w:rPr>
          <w:sz w:val="22"/>
          <w:szCs w:val="22"/>
          <w:lang w:val="en-US"/>
        </w:rPr>
        <w:t xml:space="preserve">The </w:t>
      </w:r>
      <w:r w:rsidR="00DE0319" w:rsidRPr="00A855EC">
        <w:rPr>
          <w:sz w:val="22"/>
          <w:szCs w:val="22"/>
          <w:lang w:val="en-US"/>
        </w:rPr>
        <w:t>C</w:t>
      </w:r>
      <w:r w:rsidRPr="00A855EC">
        <w:rPr>
          <w:sz w:val="22"/>
          <w:szCs w:val="22"/>
          <w:lang w:val="en-US"/>
        </w:rPr>
        <w:t xml:space="preserve">eremony took place </w:t>
      </w:r>
      <w:r w:rsidR="00DE0319" w:rsidRPr="00A855EC">
        <w:rPr>
          <w:sz w:val="22"/>
          <w:szCs w:val="22"/>
          <w:lang w:val="en-US"/>
        </w:rPr>
        <w:t xml:space="preserve">in the presence of the President of the Italian Republic </w:t>
      </w:r>
      <w:r w:rsidR="00DE0319" w:rsidRPr="00A855EC">
        <w:rPr>
          <w:b/>
          <w:bCs/>
          <w:sz w:val="22"/>
          <w:szCs w:val="22"/>
          <w:lang w:val="en-US"/>
        </w:rPr>
        <w:t>Se</w:t>
      </w:r>
      <w:r w:rsidR="004D3B4E">
        <w:rPr>
          <w:b/>
          <w:bCs/>
          <w:sz w:val="22"/>
          <w:szCs w:val="22"/>
          <w:lang w:val="en-US"/>
        </w:rPr>
        <w:t>r</w:t>
      </w:r>
      <w:r w:rsidR="00DE0319" w:rsidRPr="00A855EC">
        <w:rPr>
          <w:b/>
          <w:bCs/>
          <w:sz w:val="22"/>
          <w:szCs w:val="22"/>
          <w:lang w:val="en-US"/>
        </w:rPr>
        <w:t>gio Mattarella</w:t>
      </w:r>
      <w:r w:rsidR="00DE0319" w:rsidRPr="00A855EC">
        <w:rPr>
          <w:sz w:val="22"/>
          <w:szCs w:val="22"/>
          <w:lang w:val="en-US"/>
        </w:rPr>
        <w:t xml:space="preserve">, </w:t>
      </w:r>
      <w:r w:rsidRPr="00A855EC">
        <w:rPr>
          <w:sz w:val="22"/>
          <w:szCs w:val="22"/>
          <w:lang w:val="en-US"/>
        </w:rPr>
        <w:t>in the majestic setting of the Quirinale Palace</w:t>
      </w:r>
      <w:r w:rsidR="007F140C">
        <w:rPr>
          <w:sz w:val="22"/>
          <w:szCs w:val="22"/>
          <w:lang w:val="en-US"/>
        </w:rPr>
        <w:t xml:space="preserve"> in Rome</w:t>
      </w:r>
      <w:r w:rsidRPr="00A855EC">
        <w:rPr>
          <w:sz w:val="22"/>
          <w:szCs w:val="22"/>
          <w:lang w:val="en-US"/>
        </w:rPr>
        <w:t xml:space="preserve">, where, in the </w:t>
      </w:r>
      <w:r w:rsidR="00941267">
        <w:rPr>
          <w:sz w:val="22"/>
          <w:szCs w:val="22"/>
          <w:lang w:val="en-US"/>
        </w:rPr>
        <w:t>magnificent</w:t>
      </w:r>
      <w:r w:rsidRPr="00A855EC">
        <w:rPr>
          <w:sz w:val="22"/>
          <w:szCs w:val="22"/>
          <w:lang w:val="en-US"/>
        </w:rPr>
        <w:t xml:space="preserve"> </w:t>
      </w:r>
      <w:r w:rsidR="00290ABA">
        <w:rPr>
          <w:sz w:val="22"/>
          <w:szCs w:val="22"/>
          <w:lang w:val="en-US"/>
        </w:rPr>
        <w:t>Great Banquet</w:t>
      </w:r>
      <w:r w:rsidR="009465B1">
        <w:rPr>
          <w:sz w:val="22"/>
          <w:szCs w:val="22"/>
          <w:lang w:val="en-US"/>
        </w:rPr>
        <w:t xml:space="preserve"> Hall</w:t>
      </w:r>
      <w:r w:rsidRPr="00A855EC">
        <w:rPr>
          <w:sz w:val="22"/>
          <w:szCs w:val="22"/>
          <w:lang w:val="en-US"/>
        </w:rPr>
        <w:t xml:space="preserve">, the Presidents of the International Balzan Foundation ‘Prize’, </w:t>
      </w:r>
      <w:r w:rsidRPr="00A855EC">
        <w:rPr>
          <w:b/>
          <w:bCs/>
          <w:sz w:val="22"/>
          <w:szCs w:val="22"/>
          <w:lang w:val="en-US"/>
        </w:rPr>
        <w:t>Maria Cristina Messa</w:t>
      </w:r>
      <w:r w:rsidRPr="00A855EC">
        <w:rPr>
          <w:sz w:val="22"/>
          <w:szCs w:val="22"/>
          <w:lang w:val="en-US"/>
        </w:rPr>
        <w:t xml:space="preserve">, and ‘Fund’, </w:t>
      </w:r>
      <w:r w:rsidRPr="00A855EC">
        <w:rPr>
          <w:b/>
          <w:bCs/>
          <w:sz w:val="22"/>
          <w:szCs w:val="22"/>
          <w:lang w:val="en-US"/>
        </w:rPr>
        <w:t>Gisèle Girgis-Musy</w:t>
      </w:r>
      <w:r w:rsidRPr="00A855EC">
        <w:rPr>
          <w:sz w:val="22"/>
          <w:szCs w:val="22"/>
          <w:lang w:val="en-US"/>
        </w:rPr>
        <w:t xml:space="preserve">, gave the official speeches, while each prizewinner, presented by the </w:t>
      </w:r>
      <w:r w:rsidR="006932F4" w:rsidRPr="00A855EC">
        <w:rPr>
          <w:sz w:val="22"/>
          <w:szCs w:val="22"/>
          <w:lang w:val="en-US"/>
        </w:rPr>
        <w:t>Chair</w:t>
      </w:r>
      <w:r w:rsidRPr="00A855EC">
        <w:rPr>
          <w:sz w:val="22"/>
          <w:szCs w:val="22"/>
          <w:lang w:val="en-US"/>
        </w:rPr>
        <w:t xml:space="preserve"> of the General Prize Committee, </w:t>
      </w:r>
      <w:r w:rsidRPr="00A855EC">
        <w:rPr>
          <w:b/>
          <w:bCs/>
          <w:sz w:val="22"/>
          <w:szCs w:val="22"/>
          <w:lang w:val="en-US"/>
        </w:rPr>
        <w:t>Marta Cartabia</w:t>
      </w:r>
      <w:r w:rsidRPr="00A855EC">
        <w:rPr>
          <w:sz w:val="22"/>
          <w:szCs w:val="22"/>
          <w:lang w:val="en-US"/>
        </w:rPr>
        <w:t>, gave a speech of acceptance and thanks.</w:t>
      </w:r>
      <w:r w:rsidRPr="00A855EC">
        <w:rPr>
          <w:sz w:val="22"/>
          <w:szCs w:val="22"/>
          <w:lang w:val="en-US"/>
        </w:rPr>
        <w:tab/>
      </w:r>
    </w:p>
    <w:p w14:paraId="1FA11EAC" w14:textId="75373309" w:rsidR="00E77DC8" w:rsidRPr="00A855EC" w:rsidRDefault="00E77DC8" w:rsidP="00E77DC8">
      <w:pPr>
        <w:tabs>
          <w:tab w:val="left" w:pos="142"/>
        </w:tabs>
        <w:autoSpaceDE w:val="0"/>
        <w:jc w:val="both"/>
        <w:rPr>
          <w:sz w:val="22"/>
          <w:szCs w:val="22"/>
          <w:lang w:val="en-US"/>
        </w:rPr>
      </w:pPr>
      <w:r w:rsidRPr="00A855EC">
        <w:rPr>
          <w:sz w:val="22"/>
          <w:szCs w:val="22"/>
          <w:lang w:val="en-US"/>
        </w:rPr>
        <w:t xml:space="preserve">The Balzan Prize award ceremony is held in alternate years in Rome, in the presence of the President of the Republic, and in Bern, in the presence of the President of the Swiss Confederation or a member of the Federal Council, in </w:t>
      </w:r>
      <w:r w:rsidR="00CB3941">
        <w:rPr>
          <w:sz w:val="22"/>
          <w:szCs w:val="22"/>
          <w:lang w:val="en-US"/>
        </w:rPr>
        <w:t xml:space="preserve">accordance with </w:t>
      </w:r>
      <w:r w:rsidRPr="00A855EC">
        <w:rPr>
          <w:sz w:val="22"/>
          <w:szCs w:val="22"/>
          <w:lang w:val="en-US"/>
        </w:rPr>
        <w:t>the Foundation's dual Italian-Swiss nationality.</w:t>
      </w:r>
      <w:r w:rsidRPr="00A855EC">
        <w:rPr>
          <w:sz w:val="22"/>
          <w:szCs w:val="22"/>
          <w:lang w:val="en-US"/>
        </w:rPr>
        <w:tab/>
        <w:t xml:space="preserve"> </w:t>
      </w:r>
    </w:p>
    <w:p w14:paraId="76A39FD9" w14:textId="3A4ECCE9" w:rsidR="00350BE8" w:rsidRPr="00A855EC" w:rsidRDefault="00CB3941" w:rsidP="00E77DC8">
      <w:pPr>
        <w:tabs>
          <w:tab w:val="left" w:pos="142"/>
        </w:tabs>
        <w:autoSpaceDE w:val="0"/>
        <w:jc w:val="both"/>
        <w:rPr>
          <w:sz w:val="22"/>
          <w:szCs w:val="22"/>
          <w:lang w:val="en-US"/>
        </w:rPr>
      </w:pPr>
      <w:r>
        <w:rPr>
          <w:sz w:val="22"/>
          <w:szCs w:val="22"/>
          <w:lang w:val="en-US"/>
        </w:rPr>
        <w:t xml:space="preserve">Holding the ceremony in the </w:t>
      </w:r>
      <w:r w:rsidR="00E77DC8" w:rsidRPr="00A855EC">
        <w:rPr>
          <w:sz w:val="22"/>
          <w:szCs w:val="22"/>
          <w:lang w:val="en-US"/>
        </w:rPr>
        <w:t xml:space="preserve">presence </w:t>
      </w:r>
      <w:r>
        <w:rPr>
          <w:sz w:val="22"/>
          <w:szCs w:val="22"/>
          <w:lang w:val="en-US"/>
        </w:rPr>
        <w:t xml:space="preserve">of the President of the Italian Republic </w:t>
      </w:r>
      <w:r w:rsidR="00E77DC8" w:rsidRPr="00A855EC">
        <w:rPr>
          <w:sz w:val="22"/>
          <w:szCs w:val="22"/>
          <w:lang w:val="en-US"/>
        </w:rPr>
        <w:t xml:space="preserve">in the </w:t>
      </w:r>
      <w:r>
        <w:rPr>
          <w:sz w:val="22"/>
          <w:szCs w:val="22"/>
          <w:lang w:val="en-US"/>
        </w:rPr>
        <w:t xml:space="preserve">Palazzo Quirinale, the </w:t>
      </w:r>
      <w:r w:rsidR="00E77DC8" w:rsidRPr="00A855EC">
        <w:rPr>
          <w:sz w:val="22"/>
          <w:szCs w:val="22"/>
          <w:lang w:val="en-US"/>
        </w:rPr>
        <w:t>most important institutional seat of the Italian Republic</w:t>
      </w:r>
      <w:r>
        <w:rPr>
          <w:sz w:val="22"/>
          <w:szCs w:val="22"/>
          <w:lang w:val="en-US"/>
        </w:rPr>
        <w:t xml:space="preserve"> – called “</w:t>
      </w:r>
      <w:r w:rsidR="00E77DC8" w:rsidRPr="00A855EC">
        <w:rPr>
          <w:sz w:val="22"/>
          <w:szCs w:val="22"/>
          <w:lang w:val="en-US"/>
        </w:rPr>
        <w:t>the home of Italians</w:t>
      </w:r>
      <w:r>
        <w:rPr>
          <w:sz w:val="22"/>
          <w:szCs w:val="22"/>
          <w:lang w:val="en-US"/>
        </w:rPr>
        <w:t xml:space="preserve">” by past </w:t>
      </w:r>
      <w:r w:rsidRPr="00A855EC">
        <w:rPr>
          <w:sz w:val="22"/>
          <w:szCs w:val="22"/>
          <w:lang w:val="en-US"/>
        </w:rPr>
        <w:t>President Carlo Azeglio Ciampi</w:t>
      </w:r>
      <w:r>
        <w:rPr>
          <w:sz w:val="22"/>
          <w:szCs w:val="22"/>
          <w:lang w:val="en-US"/>
        </w:rPr>
        <w:t xml:space="preserve"> about twenty years ago –</w:t>
      </w:r>
      <w:r w:rsidR="00E77DC8" w:rsidRPr="00A855EC">
        <w:rPr>
          <w:sz w:val="22"/>
          <w:szCs w:val="22"/>
          <w:lang w:val="en-US"/>
        </w:rPr>
        <w:t xml:space="preserve"> is a sign of the particular relevance given to the message of concord between cultures and nations of which the Balzan Prize is the bearer.</w:t>
      </w:r>
    </w:p>
    <w:p w14:paraId="60E01F96" w14:textId="77777777" w:rsidR="00E77DC8" w:rsidRPr="00A855EC" w:rsidRDefault="00E77DC8" w:rsidP="00E77DC8">
      <w:pPr>
        <w:tabs>
          <w:tab w:val="left" w:pos="142"/>
        </w:tabs>
        <w:autoSpaceDE w:val="0"/>
        <w:jc w:val="both"/>
        <w:rPr>
          <w:iCs/>
          <w:color w:val="000000"/>
          <w:sz w:val="22"/>
          <w:szCs w:val="22"/>
          <w:lang w:val="en-US" w:bidi="en-US"/>
        </w:rPr>
      </w:pPr>
    </w:p>
    <w:p w14:paraId="4A78FD69" w14:textId="6BDF4470" w:rsidR="00DD3884" w:rsidRPr="009D16F6" w:rsidRDefault="00DD3884" w:rsidP="00DD3884">
      <w:pPr>
        <w:tabs>
          <w:tab w:val="left" w:pos="142"/>
        </w:tabs>
        <w:autoSpaceDE w:val="0"/>
        <w:jc w:val="both"/>
        <w:rPr>
          <w:iCs/>
          <w:color w:val="000000"/>
          <w:sz w:val="21"/>
          <w:szCs w:val="21"/>
          <w:lang w:val="en-US" w:bidi="en-US"/>
        </w:rPr>
      </w:pPr>
      <w:r w:rsidRPr="009D16F6">
        <w:rPr>
          <w:iCs/>
          <w:color w:val="000000"/>
          <w:sz w:val="21"/>
          <w:szCs w:val="21"/>
          <w:lang w:val="en-US" w:bidi="en-US"/>
        </w:rPr>
        <w:t xml:space="preserve">The 2024 Balzan Prize for Restorative Justice was awarded to </w:t>
      </w:r>
      <w:r w:rsidRPr="009D16F6">
        <w:rPr>
          <w:b/>
          <w:bCs/>
          <w:iCs/>
          <w:color w:val="000000"/>
          <w:sz w:val="21"/>
          <w:szCs w:val="21"/>
          <w:lang w:val="en-US" w:bidi="en-US"/>
        </w:rPr>
        <w:t>John Braithwaite</w:t>
      </w:r>
      <w:r w:rsidRPr="009D16F6">
        <w:rPr>
          <w:iCs/>
          <w:color w:val="000000"/>
          <w:sz w:val="21"/>
          <w:szCs w:val="21"/>
          <w:lang w:val="en-US" w:bidi="en-US"/>
        </w:rPr>
        <w:t xml:space="preserve"> </w:t>
      </w:r>
      <w:r w:rsidRPr="009D16F6">
        <w:rPr>
          <w:i/>
          <w:color w:val="000000"/>
          <w:sz w:val="21"/>
          <w:szCs w:val="21"/>
          <w:lang w:val="en-US" w:bidi="en-US"/>
        </w:rPr>
        <w:t>‘</w:t>
      </w:r>
      <w:r w:rsidR="00727FA8" w:rsidRPr="009D16F6">
        <w:rPr>
          <w:i/>
          <w:color w:val="000000"/>
          <w:sz w:val="21"/>
          <w:szCs w:val="21"/>
          <w:lang w:val="en-US" w:bidi="en-US"/>
        </w:rPr>
        <w:t>For his contribution to the theoretical development and dissemination of the practice of contemporary restorative justice, for his commitment to the service of institutions and social construction, for his work of high scientific and editorial dissemination, for his dedication to the cultural growth of the youngest generations in the values of restorative justice</w:t>
      </w:r>
      <w:r w:rsidRPr="009D16F6">
        <w:rPr>
          <w:i/>
          <w:color w:val="000000"/>
          <w:sz w:val="21"/>
          <w:szCs w:val="21"/>
          <w:lang w:val="en-US" w:bidi="en-US"/>
        </w:rPr>
        <w:t>’.</w:t>
      </w:r>
      <w:r w:rsidRPr="009D16F6">
        <w:rPr>
          <w:i/>
          <w:color w:val="000000"/>
          <w:sz w:val="21"/>
          <w:szCs w:val="21"/>
          <w:lang w:val="en-US" w:bidi="en-US"/>
        </w:rPr>
        <w:tab/>
      </w:r>
    </w:p>
    <w:p w14:paraId="40B40424" w14:textId="61430AD3" w:rsidR="00DD3884" w:rsidRPr="009D16F6" w:rsidRDefault="00CB3941" w:rsidP="00DD3884">
      <w:pPr>
        <w:tabs>
          <w:tab w:val="left" w:pos="142"/>
        </w:tabs>
        <w:autoSpaceDE w:val="0"/>
        <w:jc w:val="both"/>
        <w:rPr>
          <w:iCs/>
          <w:color w:val="000000"/>
          <w:sz w:val="21"/>
          <w:szCs w:val="21"/>
          <w:lang w:val="en-US" w:bidi="en-US"/>
        </w:rPr>
      </w:pPr>
      <w:r>
        <w:rPr>
          <w:iCs/>
          <w:color w:val="000000"/>
          <w:sz w:val="21"/>
          <w:szCs w:val="21"/>
          <w:lang w:val="en-US" w:bidi="en-US"/>
        </w:rPr>
        <w:t>F</w:t>
      </w:r>
      <w:r w:rsidRPr="009D16F6">
        <w:rPr>
          <w:iCs/>
          <w:color w:val="000000"/>
          <w:sz w:val="21"/>
          <w:szCs w:val="21"/>
          <w:lang w:val="en-US" w:bidi="en-US"/>
        </w:rPr>
        <w:t xml:space="preserve">or </w:t>
      </w:r>
      <w:r>
        <w:rPr>
          <w:iCs/>
          <w:color w:val="000000"/>
          <w:sz w:val="21"/>
          <w:szCs w:val="21"/>
          <w:lang w:val="en-US" w:bidi="en-US"/>
        </w:rPr>
        <w:t>t</w:t>
      </w:r>
      <w:r w:rsidRPr="009D16F6">
        <w:rPr>
          <w:iCs/>
          <w:color w:val="000000"/>
          <w:sz w:val="21"/>
          <w:szCs w:val="21"/>
          <w:lang w:val="en-US" w:bidi="en-US"/>
        </w:rPr>
        <w:t xml:space="preserve">he History of Modern and Contemporary Science, </w:t>
      </w:r>
      <w:r w:rsidR="00DD3884" w:rsidRPr="009D16F6">
        <w:rPr>
          <w:b/>
          <w:bCs/>
          <w:iCs/>
          <w:color w:val="000000"/>
          <w:sz w:val="21"/>
          <w:szCs w:val="21"/>
          <w:lang w:val="en-US" w:bidi="en-US"/>
        </w:rPr>
        <w:t>Lorraine Daston</w:t>
      </w:r>
      <w:r w:rsidR="00DD3884" w:rsidRPr="009D16F6">
        <w:rPr>
          <w:iCs/>
          <w:color w:val="000000"/>
          <w:sz w:val="21"/>
          <w:szCs w:val="21"/>
          <w:lang w:val="en-US" w:bidi="en-US"/>
        </w:rPr>
        <w:t xml:space="preserve"> was </w:t>
      </w:r>
      <w:r>
        <w:rPr>
          <w:iCs/>
          <w:color w:val="000000"/>
          <w:sz w:val="21"/>
          <w:szCs w:val="21"/>
          <w:lang w:val="en-US" w:bidi="en-US"/>
        </w:rPr>
        <w:t xml:space="preserve">recognized </w:t>
      </w:r>
      <w:r w:rsidR="00DD3884" w:rsidRPr="009D16F6">
        <w:rPr>
          <w:i/>
          <w:color w:val="000000"/>
          <w:sz w:val="21"/>
          <w:szCs w:val="21"/>
          <w:lang w:val="en-US" w:bidi="en-US"/>
        </w:rPr>
        <w:t>‘</w:t>
      </w:r>
      <w:r w:rsidR="00ED191B" w:rsidRPr="009D16F6">
        <w:rPr>
          <w:i/>
          <w:color w:val="000000"/>
          <w:sz w:val="21"/>
          <w:szCs w:val="21"/>
          <w:lang w:val="en-US" w:bidi="en-US"/>
        </w:rPr>
        <w:t xml:space="preserve">For the extent, originality and variety of her work, which has drawn on a wide range of scientific fields to highlight the mental representations and values underlying research activity; for the number and quality of her articles and books, which have opened up new paths in the history and epistemology of sciences; for her contribution to the training of generations of researchers; and for her support - as head of prestigious institutions - for innovative research </w:t>
      </w:r>
      <w:r w:rsidR="00CE70E1" w:rsidRPr="009D16F6">
        <w:rPr>
          <w:i/>
          <w:color w:val="000000"/>
          <w:sz w:val="21"/>
          <w:szCs w:val="21"/>
          <w:lang w:val="en-US" w:bidi="en-US"/>
        </w:rPr>
        <w:t>project</w:t>
      </w:r>
      <w:r w:rsidR="00CE70E1">
        <w:rPr>
          <w:i/>
          <w:color w:val="000000"/>
          <w:sz w:val="21"/>
          <w:szCs w:val="21"/>
          <w:lang w:val="en-US" w:bidi="en-US"/>
        </w:rPr>
        <w:t>s.</w:t>
      </w:r>
      <w:r w:rsidR="00591F20" w:rsidRPr="009D16F6">
        <w:rPr>
          <w:i/>
          <w:color w:val="000000"/>
          <w:sz w:val="21"/>
          <w:szCs w:val="21"/>
          <w:lang w:val="en-US" w:bidi="en-US"/>
        </w:rPr>
        <w:t>’</w:t>
      </w:r>
      <w:r w:rsidR="00DD3884" w:rsidRPr="009D16F6">
        <w:rPr>
          <w:iCs/>
          <w:color w:val="000000"/>
          <w:sz w:val="21"/>
          <w:szCs w:val="21"/>
          <w:lang w:val="en-US" w:bidi="en-US"/>
        </w:rPr>
        <w:tab/>
      </w:r>
    </w:p>
    <w:p w14:paraId="589CF888" w14:textId="34612E59" w:rsidR="00DD3884" w:rsidRPr="009D16F6" w:rsidRDefault="00DD3884" w:rsidP="00DD3884">
      <w:pPr>
        <w:tabs>
          <w:tab w:val="left" w:pos="142"/>
        </w:tabs>
        <w:autoSpaceDE w:val="0"/>
        <w:jc w:val="both"/>
        <w:rPr>
          <w:i/>
          <w:color w:val="000000"/>
          <w:sz w:val="21"/>
          <w:szCs w:val="21"/>
          <w:lang w:val="en-US" w:bidi="en-US"/>
        </w:rPr>
      </w:pPr>
      <w:r w:rsidRPr="009D16F6">
        <w:rPr>
          <w:b/>
          <w:bCs/>
          <w:iCs/>
          <w:color w:val="000000"/>
          <w:sz w:val="21"/>
          <w:szCs w:val="21"/>
          <w:lang w:val="en-US" w:bidi="en-US"/>
        </w:rPr>
        <w:t>Michael N. Hall</w:t>
      </w:r>
      <w:r w:rsidRPr="009D16F6">
        <w:rPr>
          <w:iCs/>
          <w:color w:val="000000"/>
          <w:sz w:val="21"/>
          <w:szCs w:val="21"/>
          <w:lang w:val="en-US" w:bidi="en-US"/>
        </w:rPr>
        <w:t xml:space="preserve"> received the award for Biological Mechanisms of Ageing </w:t>
      </w:r>
      <w:r w:rsidRPr="009D16F6">
        <w:rPr>
          <w:i/>
          <w:color w:val="000000"/>
          <w:sz w:val="21"/>
          <w:szCs w:val="21"/>
          <w:lang w:val="en-US" w:bidi="en-US"/>
        </w:rPr>
        <w:t>‘</w:t>
      </w:r>
      <w:r w:rsidR="00090E68" w:rsidRPr="009D16F6">
        <w:rPr>
          <w:i/>
          <w:color w:val="000000"/>
          <w:sz w:val="21"/>
          <w:szCs w:val="21"/>
          <w:lang w:val="en-US" w:bidi="en-US"/>
        </w:rPr>
        <w:t>For groundbreaking contributions to our understanding of the molecular mechanisms regulating cell growth. Michael Hall discovered two proteins, TOR1 and TOR2, that regulate cell growth and metabolism in response to nutrients. These play a central role in the ageing process and in the development of ageing-related diseases such as cancer, diabetes and cardiovascular disease</w:t>
      </w:r>
      <w:r w:rsidR="00CE70E1">
        <w:rPr>
          <w:i/>
          <w:color w:val="000000"/>
          <w:sz w:val="21"/>
          <w:szCs w:val="21"/>
          <w:lang w:val="en-US" w:bidi="en-US"/>
        </w:rPr>
        <w:t>.</w:t>
      </w:r>
      <w:r w:rsidRPr="009D16F6">
        <w:rPr>
          <w:i/>
          <w:color w:val="000000"/>
          <w:sz w:val="21"/>
          <w:szCs w:val="21"/>
          <w:lang w:val="en-US" w:bidi="en-US"/>
        </w:rPr>
        <w:t>’</w:t>
      </w:r>
      <w:r w:rsidRPr="009D16F6">
        <w:rPr>
          <w:i/>
          <w:color w:val="000000"/>
          <w:sz w:val="21"/>
          <w:szCs w:val="21"/>
          <w:lang w:val="en-US" w:bidi="en-US"/>
        </w:rPr>
        <w:tab/>
      </w:r>
    </w:p>
    <w:p w14:paraId="18F751F9" w14:textId="1F8FCA90" w:rsidR="00DD3884" w:rsidRPr="004A7CB5" w:rsidRDefault="00DD3884" w:rsidP="00DD3884">
      <w:pPr>
        <w:tabs>
          <w:tab w:val="left" w:pos="142"/>
        </w:tabs>
        <w:autoSpaceDE w:val="0"/>
        <w:jc w:val="both"/>
        <w:rPr>
          <w:i/>
          <w:color w:val="000000"/>
          <w:sz w:val="22"/>
          <w:szCs w:val="22"/>
          <w:lang w:val="en-US" w:bidi="en-US"/>
        </w:rPr>
      </w:pPr>
      <w:r w:rsidRPr="009D16F6">
        <w:rPr>
          <w:iCs/>
          <w:color w:val="000000"/>
          <w:sz w:val="21"/>
          <w:szCs w:val="21"/>
          <w:lang w:val="en-US" w:bidi="en-US"/>
        </w:rPr>
        <w:t xml:space="preserve">In the field of Nanoporous Materials for Environmental Applications, </w:t>
      </w:r>
      <w:r w:rsidRPr="009D16F6">
        <w:rPr>
          <w:b/>
          <w:bCs/>
          <w:iCs/>
          <w:color w:val="000000"/>
          <w:sz w:val="21"/>
          <w:szCs w:val="21"/>
          <w:lang w:val="en-US" w:bidi="en-US"/>
        </w:rPr>
        <w:t>Omar Yaghi</w:t>
      </w:r>
      <w:r w:rsidRPr="009D16F6">
        <w:rPr>
          <w:iCs/>
          <w:color w:val="000000"/>
          <w:sz w:val="21"/>
          <w:szCs w:val="21"/>
          <w:lang w:val="en-US" w:bidi="en-US"/>
        </w:rPr>
        <w:t xml:space="preserve"> </w:t>
      </w:r>
      <w:r w:rsidR="00CB3941">
        <w:rPr>
          <w:iCs/>
          <w:color w:val="000000"/>
          <w:sz w:val="21"/>
          <w:szCs w:val="21"/>
          <w:lang w:val="en-US" w:bidi="en-US"/>
        </w:rPr>
        <w:t xml:space="preserve">received the </w:t>
      </w:r>
      <w:r w:rsidR="00CE70E1">
        <w:rPr>
          <w:iCs/>
          <w:color w:val="000000"/>
          <w:sz w:val="21"/>
          <w:szCs w:val="21"/>
          <w:lang w:val="en-US" w:bidi="en-US"/>
        </w:rPr>
        <w:t>Prize</w:t>
      </w:r>
      <w:r w:rsidR="00CE70E1" w:rsidRPr="009D16F6">
        <w:rPr>
          <w:i/>
          <w:color w:val="000000"/>
          <w:sz w:val="21"/>
          <w:szCs w:val="21"/>
          <w:lang w:val="en-US" w:bidi="en-US"/>
        </w:rPr>
        <w:t xml:space="preserve"> ‘For</w:t>
      </w:r>
      <w:r w:rsidR="005368F7" w:rsidRPr="009D16F6">
        <w:rPr>
          <w:i/>
          <w:color w:val="000000"/>
          <w:sz w:val="21"/>
          <w:szCs w:val="21"/>
          <w:lang w:val="en-US" w:bidi="en-US"/>
        </w:rPr>
        <w:t xml:space="preserve"> groundbreaking contributions to the discovery and development of nanoporous framework materials, and advancing their applications in carbon capture, hydrogen storage, and water harvesting from desert air. Yaghi developed foundational design principles and innovative synthetic methods, creating two extensive classes of nanoporous materials: metal-organic frameworks (MOFs) and covalent organic frameworks (COFs). These pioneering materials are now at the forefront of global efforts to tackle critical sustainability and environmental challenges facing our planet</w:t>
      </w:r>
      <w:r w:rsidR="00CE70E1" w:rsidRPr="009D16F6">
        <w:rPr>
          <w:i/>
          <w:color w:val="000000"/>
          <w:sz w:val="21"/>
          <w:szCs w:val="21"/>
          <w:lang w:val="en-US" w:bidi="en-US"/>
        </w:rPr>
        <w:t>.’</w:t>
      </w:r>
      <w:r w:rsidRPr="004A7CB5">
        <w:rPr>
          <w:i/>
          <w:color w:val="000000"/>
          <w:sz w:val="22"/>
          <w:szCs w:val="22"/>
          <w:lang w:val="en-US" w:bidi="en-US"/>
        </w:rPr>
        <w:tab/>
      </w:r>
    </w:p>
    <w:p w14:paraId="76A39FDE" w14:textId="77777777" w:rsidR="00350BE8" w:rsidRPr="004A7CB5" w:rsidRDefault="00350BE8">
      <w:pPr>
        <w:tabs>
          <w:tab w:val="left" w:pos="142"/>
        </w:tabs>
        <w:autoSpaceDE w:val="0"/>
        <w:jc w:val="both"/>
        <w:rPr>
          <w:iCs/>
          <w:color w:val="000000"/>
          <w:sz w:val="22"/>
          <w:szCs w:val="22"/>
          <w:lang w:val="en-US" w:bidi="en-US"/>
        </w:rPr>
      </w:pPr>
    </w:p>
    <w:p w14:paraId="76A39FDF" w14:textId="35465F36" w:rsidR="00350BE8" w:rsidRPr="004A7CB5" w:rsidRDefault="00566BE9">
      <w:pPr>
        <w:tabs>
          <w:tab w:val="left" w:pos="1004"/>
        </w:tabs>
        <w:jc w:val="both"/>
        <w:rPr>
          <w:iCs/>
          <w:color w:val="000000"/>
          <w:sz w:val="22"/>
          <w:szCs w:val="22"/>
          <w:lang w:val="en-US" w:bidi="en-US"/>
        </w:rPr>
      </w:pPr>
      <w:r w:rsidRPr="004A7CB5">
        <w:rPr>
          <w:sz w:val="22"/>
          <w:szCs w:val="22"/>
          <w:lang w:val="en-US" w:bidi="en-US"/>
        </w:rPr>
        <w:t>The amount of each of the four annual Prizes is 750,000 Swiss Francs</w:t>
      </w:r>
      <w:r w:rsidR="005D12D0">
        <w:rPr>
          <w:sz w:val="22"/>
          <w:szCs w:val="22"/>
          <w:lang w:val="en-US" w:bidi="en-US"/>
        </w:rPr>
        <w:t xml:space="preserve"> </w:t>
      </w:r>
      <w:r w:rsidR="005D12D0" w:rsidRPr="005D12D0">
        <w:rPr>
          <w:sz w:val="22"/>
          <w:szCs w:val="22"/>
          <w:lang w:val="en-US" w:bidi="en-US"/>
        </w:rPr>
        <w:t>(€ 800,000; $870,000; GBP 670.000)</w:t>
      </w:r>
      <w:r w:rsidR="00CB3941">
        <w:rPr>
          <w:sz w:val="22"/>
          <w:szCs w:val="22"/>
          <w:lang w:val="en-US" w:bidi="en-US"/>
        </w:rPr>
        <w:t xml:space="preserve">. The </w:t>
      </w:r>
      <w:r w:rsidRPr="004A7CB5">
        <w:rPr>
          <w:sz w:val="22"/>
          <w:szCs w:val="22"/>
          <w:lang w:val="en-US" w:bidi="en-US"/>
        </w:rPr>
        <w:t xml:space="preserve">Prizewinners must destine half of the </w:t>
      </w:r>
      <w:r w:rsidR="002A6CA1">
        <w:rPr>
          <w:sz w:val="22"/>
          <w:szCs w:val="22"/>
          <w:lang w:val="en-US" w:bidi="en-US"/>
        </w:rPr>
        <w:t>amount</w:t>
      </w:r>
      <w:r w:rsidRPr="004A7CB5">
        <w:rPr>
          <w:sz w:val="22"/>
          <w:szCs w:val="22"/>
          <w:lang w:val="en-US" w:bidi="en-US"/>
        </w:rPr>
        <w:t xml:space="preserve"> to finance research projects that are carried out by young scholars or scientists. </w:t>
      </w:r>
    </w:p>
    <w:p w14:paraId="76A39FE0" w14:textId="77777777" w:rsidR="00350BE8" w:rsidRPr="004A7CB5" w:rsidRDefault="00350BE8">
      <w:pPr>
        <w:jc w:val="both"/>
        <w:rPr>
          <w:iCs/>
          <w:color w:val="000000"/>
          <w:sz w:val="22"/>
          <w:szCs w:val="22"/>
          <w:lang w:val="en-US" w:bidi="en-US"/>
        </w:rPr>
      </w:pPr>
    </w:p>
    <w:p w14:paraId="76A39FE1" w14:textId="028116A1" w:rsidR="00350BE8" w:rsidRPr="00A855EC" w:rsidRDefault="00566BE9">
      <w:pPr>
        <w:jc w:val="both"/>
        <w:rPr>
          <w:sz w:val="22"/>
          <w:szCs w:val="22"/>
          <w:lang w:val="en-US"/>
        </w:rPr>
      </w:pPr>
      <w:r w:rsidRPr="00A855EC">
        <w:rPr>
          <w:sz w:val="22"/>
          <w:szCs w:val="22"/>
          <w:lang w:val="en-US"/>
        </w:rPr>
        <w:t xml:space="preserve">The </w:t>
      </w:r>
      <w:r w:rsidR="0066591D" w:rsidRPr="00A855EC">
        <w:rPr>
          <w:sz w:val="22"/>
          <w:szCs w:val="22"/>
          <w:lang w:val="en-US"/>
        </w:rPr>
        <w:t>2024</w:t>
      </w:r>
      <w:r w:rsidRPr="00A855EC">
        <w:rPr>
          <w:sz w:val="22"/>
          <w:szCs w:val="22"/>
          <w:lang w:val="en-US"/>
        </w:rPr>
        <w:t xml:space="preserve"> Awards Ceremony </w:t>
      </w:r>
      <w:r w:rsidR="00837A3E" w:rsidRPr="00A855EC">
        <w:rPr>
          <w:sz w:val="22"/>
          <w:szCs w:val="22"/>
          <w:lang w:val="en-US"/>
        </w:rPr>
        <w:t>is</w:t>
      </w:r>
      <w:r w:rsidRPr="00A855EC">
        <w:rPr>
          <w:sz w:val="22"/>
          <w:szCs w:val="22"/>
          <w:lang w:val="en-US"/>
        </w:rPr>
        <w:t xml:space="preserve"> </w:t>
      </w:r>
      <w:r w:rsidR="00837A3E" w:rsidRPr="00A855EC">
        <w:rPr>
          <w:sz w:val="22"/>
          <w:szCs w:val="22"/>
          <w:lang w:val="en-US"/>
        </w:rPr>
        <w:t>followed</w:t>
      </w:r>
      <w:r w:rsidRPr="00A855EC">
        <w:rPr>
          <w:sz w:val="22"/>
          <w:szCs w:val="22"/>
          <w:lang w:val="en-US"/>
        </w:rPr>
        <w:t xml:space="preserve"> by the </w:t>
      </w:r>
      <w:r w:rsidRPr="00A855EC">
        <w:rPr>
          <w:b/>
          <w:bCs/>
          <w:sz w:val="22"/>
          <w:szCs w:val="22"/>
          <w:lang w:val="en-US"/>
        </w:rPr>
        <w:t>Balzan Prizewinners Interdisciplinary Forum</w:t>
      </w:r>
      <w:r w:rsidRPr="00A855EC">
        <w:rPr>
          <w:sz w:val="22"/>
          <w:szCs w:val="22"/>
          <w:lang w:val="en-US"/>
        </w:rPr>
        <w:t xml:space="preserve"> at the Accademia Nazionale dei Lincei (Palazzo Corsini) on </w:t>
      </w:r>
      <w:r w:rsidR="00837A3E" w:rsidRPr="00A855EC">
        <w:rPr>
          <w:sz w:val="22"/>
          <w:szCs w:val="22"/>
          <w:lang w:val="en-US"/>
        </w:rPr>
        <w:t>Friday</w:t>
      </w:r>
      <w:r w:rsidRPr="00A855EC">
        <w:rPr>
          <w:sz w:val="22"/>
          <w:szCs w:val="22"/>
          <w:lang w:val="en-US"/>
        </w:rPr>
        <w:t xml:space="preserve"> 22 November. Th</w:t>
      </w:r>
      <w:r w:rsidR="002A6CA1">
        <w:rPr>
          <w:sz w:val="22"/>
          <w:szCs w:val="22"/>
          <w:lang w:val="en-US"/>
        </w:rPr>
        <w:t xml:space="preserve">e Forum </w:t>
      </w:r>
      <w:r w:rsidR="00837A3E" w:rsidRPr="00A855EC">
        <w:rPr>
          <w:sz w:val="22"/>
          <w:szCs w:val="22"/>
          <w:lang w:val="en-US"/>
        </w:rPr>
        <w:t>is</w:t>
      </w:r>
      <w:r w:rsidRPr="00A855EC">
        <w:rPr>
          <w:sz w:val="22"/>
          <w:szCs w:val="22"/>
          <w:lang w:val="en-US"/>
        </w:rPr>
        <w:t xml:space="preserve"> an occasion for public debate on major topics </w:t>
      </w:r>
      <w:r w:rsidR="00055492">
        <w:rPr>
          <w:sz w:val="22"/>
          <w:szCs w:val="22"/>
          <w:lang w:val="en-US"/>
        </w:rPr>
        <w:t>related to</w:t>
      </w:r>
      <w:r w:rsidRPr="00A855EC">
        <w:rPr>
          <w:sz w:val="22"/>
          <w:szCs w:val="22"/>
          <w:lang w:val="en-US"/>
        </w:rPr>
        <w:t xml:space="preserve"> the subject</w:t>
      </w:r>
      <w:r>
        <w:rPr>
          <w:sz w:val="22"/>
          <w:szCs w:val="22"/>
          <w:lang w:val="en-US"/>
        </w:rPr>
        <w:t>s</w:t>
      </w:r>
      <w:r w:rsidRPr="00A855EC">
        <w:rPr>
          <w:sz w:val="22"/>
          <w:szCs w:val="22"/>
          <w:lang w:val="en-US"/>
        </w:rPr>
        <w:t xml:space="preserve"> of this year's prizes</w:t>
      </w:r>
      <w:r w:rsidR="00CA5F8D">
        <w:rPr>
          <w:sz w:val="22"/>
          <w:szCs w:val="22"/>
          <w:lang w:val="en-US"/>
        </w:rPr>
        <w:t>,</w:t>
      </w:r>
      <w:r w:rsidR="002A6CA1">
        <w:rPr>
          <w:sz w:val="22"/>
          <w:szCs w:val="22"/>
          <w:lang w:val="en-US"/>
        </w:rPr>
        <w:t xml:space="preserve"> and will be</w:t>
      </w:r>
      <w:r w:rsidR="00CA5F8D">
        <w:rPr>
          <w:sz w:val="22"/>
          <w:szCs w:val="22"/>
          <w:lang w:val="en-US"/>
        </w:rPr>
        <w:t xml:space="preserve"> </w:t>
      </w:r>
      <w:r w:rsidR="00CA5F8D" w:rsidRPr="00795EBE">
        <w:rPr>
          <w:b/>
          <w:bCs/>
          <w:sz w:val="22"/>
          <w:szCs w:val="22"/>
          <w:u w:val="single"/>
          <w:lang w:val="en-US"/>
        </w:rPr>
        <w:t>live s</w:t>
      </w:r>
      <w:r w:rsidR="00795EBE" w:rsidRPr="00795EBE">
        <w:rPr>
          <w:b/>
          <w:bCs/>
          <w:sz w:val="22"/>
          <w:szCs w:val="22"/>
          <w:u w:val="single"/>
          <w:lang w:val="en-US"/>
        </w:rPr>
        <w:t xml:space="preserve">treamed on </w:t>
      </w:r>
      <w:hyperlink r:id="rId9" w:history="1">
        <w:r w:rsidR="00795EBE" w:rsidRPr="005D12D0">
          <w:rPr>
            <w:rStyle w:val="Collegamentoipertestuale"/>
            <w:b/>
            <w:bCs/>
            <w:color w:val="auto"/>
            <w:sz w:val="22"/>
            <w:szCs w:val="22"/>
            <w:lang w:val="en-US"/>
          </w:rPr>
          <w:t>www.balzan.org</w:t>
        </w:r>
      </w:hyperlink>
      <w:r w:rsidR="00795EBE" w:rsidRPr="005D12D0">
        <w:rPr>
          <w:b/>
          <w:bCs/>
          <w:sz w:val="22"/>
          <w:szCs w:val="22"/>
          <w:u w:val="single"/>
          <w:lang w:val="en-US"/>
        </w:rPr>
        <w:t xml:space="preserve"> starting</w:t>
      </w:r>
      <w:r w:rsidR="00795EBE" w:rsidRPr="00795EBE">
        <w:rPr>
          <w:b/>
          <w:bCs/>
          <w:sz w:val="22"/>
          <w:szCs w:val="22"/>
          <w:u w:val="single"/>
          <w:lang w:val="en-US"/>
        </w:rPr>
        <w:t xml:space="preserve"> from 10.30 a</w:t>
      </w:r>
      <w:r w:rsidR="005D12D0">
        <w:rPr>
          <w:b/>
          <w:bCs/>
          <w:sz w:val="22"/>
          <w:szCs w:val="22"/>
          <w:u w:val="single"/>
          <w:lang w:val="en-US"/>
        </w:rPr>
        <w:t>.</w:t>
      </w:r>
      <w:r w:rsidR="00795EBE" w:rsidRPr="00795EBE">
        <w:rPr>
          <w:b/>
          <w:bCs/>
          <w:sz w:val="22"/>
          <w:szCs w:val="22"/>
          <w:u w:val="single"/>
          <w:lang w:val="en-US"/>
        </w:rPr>
        <w:t>m</w:t>
      </w:r>
      <w:r w:rsidRPr="00795EBE">
        <w:rPr>
          <w:b/>
          <w:bCs/>
          <w:sz w:val="22"/>
          <w:szCs w:val="22"/>
          <w:u w:val="single"/>
          <w:lang w:val="en-US"/>
        </w:rPr>
        <w:t>.</w:t>
      </w:r>
      <w:r w:rsidRPr="00A855EC">
        <w:rPr>
          <w:sz w:val="22"/>
          <w:szCs w:val="22"/>
          <w:lang w:val="en-US"/>
        </w:rPr>
        <w:t xml:space="preserve"> </w:t>
      </w:r>
    </w:p>
    <w:p w14:paraId="76A39FE3" w14:textId="77777777" w:rsidR="00350BE8" w:rsidRPr="004A7CB5" w:rsidRDefault="00350BE8">
      <w:pPr>
        <w:pStyle w:val="StGen0"/>
        <w:tabs>
          <w:tab w:val="left" w:pos="0"/>
        </w:tabs>
        <w:spacing w:before="0" w:after="0"/>
        <w:rPr>
          <w:sz w:val="22"/>
          <w:szCs w:val="22"/>
          <w:lang w:val="en-US"/>
        </w:rPr>
      </w:pPr>
    </w:p>
    <w:p w14:paraId="76A39FE4" w14:textId="77777777" w:rsidR="00350BE8" w:rsidRPr="004A7CB5" w:rsidRDefault="00350BE8">
      <w:pPr>
        <w:pStyle w:val="StGen0"/>
        <w:tabs>
          <w:tab w:val="left" w:pos="0"/>
        </w:tabs>
        <w:spacing w:before="0" w:after="0"/>
        <w:jc w:val="both"/>
        <w:rPr>
          <w:sz w:val="22"/>
          <w:szCs w:val="22"/>
          <w:lang w:val="en-US"/>
        </w:rPr>
      </w:pPr>
    </w:p>
    <w:sectPr w:rsidR="00350BE8" w:rsidRPr="004A7CB5">
      <w:headerReference w:type="default" r:id="rId10"/>
      <w:footerReference w:type="default" r:id="rId11"/>
      <w:headerReference w:type="first" r:id="rId12"/>
      <w:footerReference w:type="first" r:id="rId13"/>
      <w:pgSz w:w="11906" w:h="16838"/>
      <w:pgMar w:top="623" w:right="851" w:bottom="765" w:left="851" w:header="567"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3E9B7" w14:textId="77777777" w:rsidR="002E09D5" w:rsidRDefault="002E09D5">
      <w:r>
        <w:separator/>
      </w:r>
    </w:p>
  </w:endnote>
  <w:endnote w:type="continuationSeparator" w:id="0">
    <w:p w14:paraId="1323F4C6" w14:textId="77777777" w:rsidR="002E09D5" w:rsidRDefault="002E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font>
  <w:font w:name="Verdana">
    <w:panose1 w:val="020B0604030504040204"/>
    <w:charset w:val="00"/>
    <w:family w:val="swiss"/>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auto"/>
    <w:pitch w:val="variable"/>
  </w:font>
  <w:font w:name="Tahoma">
    <w:panose1 w:val="020B060403050404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39FE7" w14:textId="77777777" w:rsidR="00350BE8" w:rsidRPr="00FA1E60" w:rsidRDefault="00566BE9">
    <w:pPr>
      <w:pStyle w:val="Pidipagina"/>
      <w:jc w:val="center"/>
      <w:rPr>
        <w:lang w:val="en-US"/>
      </w:rPr>
    </w:pPr>
    <w:r w:rsidRPr="004A7CB5">
      <w:rPr>
        <w:sz w:val="20"/>
        <w:szCs w:val="20"/>
        <w:lang w:val="en-US"/>
      </w:rPr>
      <w:t>International Balzan Foundation; Press Office: T +39 02 76002212  M +39 334 1687132 ufficio.stampa@balzan.it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39FE9" w14:textId="77777777" w:rsidR="00350BE8" w:rsidRDefault="00350B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869EB" w14:textId="77777777" w:rsidR="002E09D5" w:rsidRDefault="002E09D5">
      <w:r>
        <w:separator/>
      </w:r>
    </w:p>
  </w:footnote>
  <w:footnote w:type="continuationSeparator" w:id="0">
    <w:p w14:paraId="4D3E7F11" w14:textId="77777777" w:rsidR="002E09D5" w:rsidRDefault="002E0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39FE5" w14:textId="5DBA35A8" w:rsidR="00350BE8" w:rsidRDefault="002A6CA1">
    <w:pPr>
      <w:pStyle w:val="Intestazione"/>
      <w:jc w:val="center"/>
      <w:rPr>
        <w:sz w:val="22"/>
        <w:szCs w:val="22"/>
      </w:rPr>
    </w:pPr>
    <w:r>
      <w:rPr>
        <w:noProof/>
        <w:sz w:val="22"/>
        <w:szCs w:val="22"/>
      </w:rPr>
      <mc:AlternateContent>
        <mc:Choice Requires="wps">
          <w:drawing>
            <wp:anchor distT="0" distB="0" distL="114300" distR="114300" simplePos="0" relativeHeight="251657728" behindDoc="0" locked="0" layoutInCell="1" allowOverlap="1" wp14:anchorId="76A39FEA" wp14:editId="7A3EFE99">
              <wp:simplePos x="0" y="0"/>
              <wp:positionH relativeFrom="column">
                <wp:posOffset>0</wp:posOffset>
              </wp:positionH>
              <wp:positionV relativeFrom="paragraph">
                <wp:posOffset>0</wp:posOffset>
              </wp:positionV>
              <wp:extent cx="635000" cy="635000"/>
              <wp:effectExtent l="0" t="0" r="3175" b="3175"/>
              <wp:wrapNone/>
              <wp:docPr id="430894745"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04A15"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sz w:val="22"/>
        <w:szCs w:val="22"/>
      </w:rPr>
      <w:drawing>
        <wp:inline distT="0" distB="0" distL="0" distR="0" wp14:anchorId="76A39FEB" wp14:editId="5DA7213E">
          <wp:extent cx="577850" cy="577850"/>
          <wp:effectExtent l="0" t="0" r="0" b="0"/>
          <wp:docPr id="1" name="{5F5AE63A-34E4-4D3D-868A-CE8D6C7F5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5AE63A-34E4-4D3D-868A-CE8D6C7F5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inline>
      </w:drawing>
    </w:r>
  </w:p>
  <w:p w14:paraId="76A39FE6" w14:textId="77777777" w:rsidR="00350BE8" w:rsidRDefault="00566BE9">
    <w:pPr>
      <w:pStyle w:val="Intestazione"/>
      <w:jc w:val="center"/>
    </w:pPr>
    <w:r>
      <w:rPr>
        <w:sz w:val="22"/>
        <w:szCs w:val="22"/>
      </w:rPr>
      <w:t>International Balzan Foundation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39FE8" w14:textId="77777777" w:rsidR="00350BE8" w:rsidRDefault="00350BE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283"/>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E8"/>
    <w:rsid w:val="00053473"/>
    <w:rsid w:val="00055492"/>
    <w:rsid w:val="000608A1"/>
    <w:rsid w:val="000872BE"/>
    <w:rsid w:val="00090E68"/>
    <w:rsid w:val="00091E54"/>
    <w:rsid w:val="000E6E4E"/>
    <w:rsid w:val="00105BDA"/>
    <w:rsid w:val="00172B73"/>
    <w:rsid w:val="00233B75"/>
    <w:rsid w:val="00290ABA"/>
    <w:rsid w:val="002A6CA1"/>
    <w:rsid w:val="002B001A"/>
    <w:rsid w:val="002E09D5"/>
    <w:rsid w:val="00350BE8"/>
    <w:rsid w:val="0038194F"/>
    <w:rsid w:val="004748FA"/>
    <w:rsid w:val="004A6EC9"/>
    <w:rsid w:val="004A7CB5"/>
    <w:rsid w:val="004D3B4E"/>
    <w:rsid w:val="005368F7"/>
    <w:rsid w:val="00566BE9"/>
    <w:rsid w:val="005726DF"/>
    <w:rsid w:val="00591F20"/>
    <w:rsid w:val="005D12D0"/>
    <w:rsid w:val="005E430D"/>
    <w:rsid w:val="0061532C"/>
    <w:rsid w:val="00662F8F"/>
    <w:rsid w:val="0066591D"/>
    <w:rsid w:val="006932F4"/>
    <w:rsid w:val="00727FA8"/>
    <w:rsid w:val="00795EBE"/>
    <w:rsid w:val="007A3D62"/>
    <w:rsid w:val="007F140C"/>
    <w:rsid w:val="00837A3E"/>
    <w:rsid w:val="00864C00"/>
    <w:rsid w:val="008A6405"/>
    <w:rsid w:val="00941267"/>
    <w:rsid w:val="009465B1"/>
    <w:rsid w:val="009C4EB2"/>
    <w:rsid w:val="009D16F6"/>
    <w:rsid w:val="009E6379"/>
    <w:rsid w:val="00A07B4D"/>
    <w:rsid w:val="00A31C81"/>
    <w:rsid w:val="00A5291A"/>
    <w:rsid w:val="00A6358C"/>
    <w:rsid w:val="00A855EC"/>
    <w:rsid w:val="00A86497"/>
    <w:rsid w:val="00AC66BF"/>
    <w:rsid w:val="00AC7DFE"/>
    <w:rsid w:val="00B635F5"/>
    <w:rsid w:val="00BD140A"/>
    <w:rsid w:val="00BF054B"/>
    <w:rsid w:val="00C152F4"/>
    <w:rsid w:val="00CA5F8D"/>
    <w:rsid w:val="00CB3941"/>
    <w:rsid w:val="00CE70E1"/>
    <w:rsid w:val="00D618C3"/>
    <w:rsid w:val="00D97338"/>
    <w:rsid w:val="00DD3884"/>
    <w:rsid w:val="00DE0319"/>
    <w:rsid w:val="00DE05CD"/>
    <w:rsid w:val="00E064CA"/>
    <w:rsid w:val="00E478E2"/>
    <w:rsid w:val="00E77DC8"/>
    <w:rsid w:val="00EB4413"/>
    <w:rsid w:val="00EC3201"/>
    <w:rsid w:val="00ED191B"/>
    <w:rsid w:val="00F14E2A"/>
    <w:rsid w:val="00F3378F"/>
    <w:rsid w:val="00FA1E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39FCD"/>
  <w15:docId w15:val="{07C6816B-7D16-42B7-AFDD-14EC4ECB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Gen2">
    <w:name w:val="StGen2"/>
  </w:style>
  <w:style w:type="character" w:customStyle="1" w:styleId="StGen3">
    <w:name w:val="StGen3"/>
    <w:rPr>
      <w:rFonts w:ascii="Courier New" w:hAnsi="Courier New"/>
    </w:rPr>
  </w:style>
  <w:style w:type="character" w:customStyle="1" w:styleId="StGen4">
    <w:name w:val="StGen4"/>
    <w:rPr>
      <w:rFonts w:ascii="Wingdings" w:hAnsi="Wingdings"/>
    </w:rPr>
  </w:style>
  <w:style w:type="character" w:customStyle="1" w:styleId="StGen5">
    <w:name w:val="StGen5"/>
    <w:rPr>
      <w:rFonts w:ascii="Symbol" w:hAnsi="Symbol"/>
    </w:rPr>
  </w:style>
  <w:style w:type="character" w:customStyle="1" w:styleId="StGen6">
    <w:name w:val="StGen6"/>
    <w:rPr>
      <w:rFonts w:ascii="Symbol" w:hAnsi="Symbol"/>
    </w:rPr>
  </w:style>
  <w:style w:type="character" w:customStyle="1" w:styleId="StGen7">
    <w:name w:val="StGen7"/>
    <w:rPr>
      <w:rFonts w:ascii="Courier New" w:hAnsi="Courier New"/>
    </w:rPr>
  </w:style>
  <w:style w:type="character" w:customStyle="1" w:styleId="StGen8">
    <w:name w:val="StGen8"/>
    <w:rPr>
      <w:rFonts w:ascii="Wingdings" w:hAnsi="Wingdings"/>
    </w:rPr>
  </w:style>
  <w:style w:type="character" w:customStyle="1" w:styleId="StGen9">
    <w:name w:val="StGen9"/>
  </w:style>
  <w:style w:type="character" w:customStyle="1" w:styleId="StGen10">
    <w:name w:val="StGen10"/>
    <w:rPr>
      <w:rFonts w:ascii="Courier New" w:hAnsi="Courier New"/>
    </w:rPr>
  </w:style>
  <w:style w:type="character" w:customStyle="1" w:styleId="StGen11">
    <w:name w:val="StGen11"/>
    <w:rPr>
      <w:rFonts w:ascii="Wingdings" w:hAnsi="Wingdings"/>
    </w:rPr>
  </w:style>
  <w:style w:type="character" w:customStyle="1" w:styleId="StGen12">
    <w:name w:val="StGen12"/>
    <w:rPr>
      <w:rFonts w:ascii="Symbol" w:hAnsi="Symbol"/>
    </w:rPr>
  </w:style>
  <w:style w:type="character" w:customStyle="1" w:styleId="StGen13">
    <w:name w:val="StGen13"/>
    <w:rPr>
      <w:rFonts w:ascii="Symbol" w:hAnsi="Symbol"/>
    </w:rPr>
  </w:style>
  <w:style w:type="character" w:customStyle="1" w:styleId="StGen14">
    <w:name w:val="StGen14"/>
    <w:rPr>
      <w:rFonts w:ascii="Courier New" w:hAnsi="Courier New"/>
    </w:rPr>
  </w:style>
  <w:style w:type="character" w:customStyle="1" w:styleId="StGen15">
    <w:name w:val="StGen15"/>
    <w:rPr>
      <w:rFonts w:ascii="Wingdings" w:hAnsi="Wingdings"/>
    </w:rPr>
  </w:style>
  <w:style w:type="character" w:customStyle="1" w:styleId="StGen16">
    <w:name w:val="StGen16"/>
    <w:rPr>
      <w:rFonts w:ascii="Symbol" w:hAnsi="Symbol"/>
    </w:rPr>
  </w:style>
  <w:style w:type="character" w:customStyle="1" w:styleId="StGen17">
    <w:name w:val="StGen17"/>
    <w:rPr>
      <w:rFonts w:ascii="Courier New" w:hAnsi="Courier New"/>
    </w:rPr>
  </w:style>
  <w:style w:type="character" w:customStyle="1" w:styleId="StGen18">
    <w:name w:val="StGen18"/>
    <w:rPr>
      <w:rFonts w:ascii="Wingdings" w:hAnsi="Wingdings"/>
    </w:rPr>
  </w:style>
  <w:style w:type="character" w:customStyle="1" w:styleId="StGen19">
    <w:name w:val="StGen19"/>
  </w:style>
  <w:style w:type="character" w:customStyle="1" w:styleId="StGen20">
    <w:name w:val="StGen20"/>
  </w:style>
  <w:style w:type="character" w:customStyle="1" w:styleId="StGen21">
    <w:name w:val="StGen21"/>
  </w:style>
  <w:style w:type="character" w:customStyle="1" w:styleId="StGen22">
    <w:name w:val="StGen22"/>
  </w:style>
  <w:style w:type="character" w:customStyle="1" w:styleId="StGen23">
    <w:name w:val="StGen23"/>
  </w:style>
  <w:style w:type="character" w:customStyle="1" w:styleId="StGen24">
    <w:name w:val="StGen24"/>
  </w:style>
  <w:style w:type="character" w:customStyle="1" w:styleId="StGen25">
    <w:name w:val="StGen25"/>
  </w:style>
  <w:style w:type="character" w:customStyle="1" w:styleId="StGen26">
    <w:name w:val="StGen26"/>
  </w:style>
  <w:style w:type="character" w:customStyle="1" w:styleId="StGen27">
    <w:name w:val="StGen27"/>
  </w:style>
  <w:style w:type="character" w:customStyle="1" w:styleId="StGen28">
    <w:name w:val="StGen28"/>
    <w:rPr>
      <w:rFonts w:ascii="Palatino Linotype" w:hAnsi="Palatino Linotype"/>
    </w:rPr>
  </w:style>
  <w:style w:type="character" w:customStyle="1" w:styleId="StGen29">
    <w:name w:val="StGen29"/>
    <w:rPr>
      <w:rFonts w:ascii="Courier New" w:hAnsi="Courier New"/>
    </w:rPr>
  </w:style>
  <w:style w:type="character" w:customStyle="1" w:styleId="StGen30">
    <w:name w:val="StGen30"/>
    <w:rPr>
      <w:rFonts w:ascii="Wingdings" w:hAnsi="Wingdings"/>
    </w:rPr>
  </w:style>
  <w:style w:type="character" w:customStyle="1" w:styleId="StGen31">
    <w:name w:val="StGen31"/>
    <w:rPr>
      <w:rFonts w:ascii="Symbol" w:hAnsi="Symbol"/>
    </w:rPr>
  </w:style>
  <w:style w:type="character" w:customStyle="1" w:styleId="StGen32">
    <w:name w:val="StGen32"/>
    <w:rPr>
      <w:rFonts w:ascii="Palatino Linotype" w:hAnsi="Palatino Linotype"/>
    </w:rPr>
  </w:style>
  <w:style w:type="character" w:customStyle="1" w:styleId="StGen33">
    <w:name w:val="StGen33"/>
    <w:rPr>
      <w:rFonts w:ascii="Courier New" w:hAnsi="Courier New"/>
    </w:rPr>
  </w:style>
  <w:style w:type="character" w:customStyle="1" w:styleId="StGen34">
    <w:name w:val="StGen34"/>
    <w:rPr>
      <w:rFonts w:ascii="Wingdings" w:hAnsi="Wingdings"/>
    </w:rPr>
  </w:style>
  <w:style w:type="character" w:customStyle="1" w:styleId="StGen35">
    <w:name w:val="StGen35"/>
    <w:rPr>
      <w:rFonts w:ascii="Symbol" w:hAnsi="Symbol"/>
    </w:rPr>
  </w:style>
  <w:style w:type="character" w:customStyle="1" w:styleId="StGen36">
    <w:name w:val="StGen36"/>
  </w:style>
  <w:style w:type="character" w:customStyle="1" w:styleId="StGen37">
    <w:name w:val="StGen37"/>
    <w:rPr>
      <w:rFonts w:ascii="Courier New" w:hAnsi="Courier New"/>
    </w:rPr>
  </w:style>
  <w:style w:type="character" w:customStyle="1" w:styleId="StGen38">
    <w:name w:val="StGen38"/>
    <w:rPr>
      <w:rFonts w:ascii="Wingdings" w:hAnsi="Wingdings"/>
    </w:rPr>
  </w:style>
  <w:style w:type="character" w:customStyle="1" w:styleId="StGen39">
    <w:name w:val="StGen39"/>
    <w:rPr>
      <w:rFonts w:ascii="Symbol" w:hAnsi="Symbol"/>
    </w:rPr>
  </w:style>
  <w:style w:type="character" w:customStyle="1" w:styleId="StGen40">
    <w:name w:val="StGen40"/>
  </w:style>
  <w:style w:type="character" w:styleId="Collegamentoipertestuale">
    <w:name w:val="Hyperlink"/>
    <w:basedOn w:val="StGen40"/>
    <w:rPr>
      <w:color w:val="0000FF"/>
      <w:u w:val="single"/>
    </w:rPr>
  </w:style>
  <w:style w:type="character" w:customStyle="1" w:styleId="StGen41">
    <w:name w:val="StGen41"/>
    <w:basedOn w:val="StGen40"/>
    <w:rPr>
      <w:sz w:val="18"/>
    </w:rPr>
  </w:style>
  <w:style w:type="character" w:customStyle="1" w:styleId="StGen42">
    <w:name w:val="StGen42"/>
    <w:basedOn w:val="StGen40"/>
    <w:rPr>
      <w:rFonts w:ascii="Verdana" w:hAnsi="Verdana"/>
      <w:b w:val="0"/>
      <w:bCs w:val="0"/>
      <w:i w:val="0"/>
      <w:iCs w:val="0"/>
      <w:sz w:val="18"/>
      <w:szCs w:val="18"/>
    </w:rPr>
  </w:style>
  <w:style w:type="character" w:customStyle="1" w:styleId="StGen43">
    <w:name w:val="StGen43"/>
    <w:basedOn w:val="StGen40"/>
    <w:rPr>
      <w:rFonts w:ascii="Arial" w:hAnsi="Arial"/>
      <w:color w:val="000080"/>
      <w:sz w:val="20"/>
      <w:szCs w:val="20"/>
    </w:rPr>
  </w:style>
  <w:style w:type="character" w:customStyle="1" w:styleId="StGen1">
    <w:name w:val="StGen1"/>
    <w:basedOn w:val="StGen40"/>
  </w:style>
  <w:style w:type="character" w:customStyle="1" w:styleId="StGen44">
    <w:name w:val="StGen44"/>
    <w:basedOn w:val="StGen40"/>
  </w:style>
  <w:style w:type="character" w:customStyle="1" w:styleId="StGen45">
    <w:name w:val="StGen45"/>
    <w:basedOn w:val="StGen40"/>
    <w:rPr>
      <w:rFonts w:ascii="Arial" w:hAnsi="Arial"/>
      <w:color w:val="000000"/>
      <w:sz w:val="20"/>
      <w:szCs w:val="20"/>
    </w:rPr>
  </w:style>
  <w:style w:type="paragraph" w:customStyle="1" w:styleId="StGen46">
    <w:name w:val="StGen46"/>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spacing w:after="120"/>
    </w:pPr>
  </w:style>
  <w:style w:type="paragraph" w:styleId="Elenco">
    <w:name w:val="List"/>
    <w:basedOn w:val="BodyText"/>
  </w:style>
  <w:style w:type="paragraph" w:styleId="Didascalia">
    <w:name w:val="caption"/>
    <w:basedOn w:val="Normale"/>
    <w:pPr>
      <w:suppressLineNumbers/>
      <w:spacing w:before="120" w:after="120"/>
    </w:pPr>
    <w:rPr>
      <w:i/>
      <w:iCs/>
    </w:rPr>
  </w:style>
  <w:style w:type="paragraph" w:customStyle="1" w:styleId="StGen47">
    <w:name w:val="StGen47"/>
    <w:basedOn w:val="Normale"/>
    <w:pPr>
      <w:suppressLineNumbers/>
    </w:pPr>
  </w:style>
  <w:style w:type="paragraph" w:customStyle="1" w:styleId="StGen0">
    <w:name w:val="StGen0"/>
    <w:basedOn w:val="Normale"/>
    <w:pPr>
      <w:spacing w:before="280" w:after="280"/>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Gen48">
    <w:name w:val="StGen48"/>
    <w:basedOn w:val="Normale"/>
    <w:rPr>
      <w:rFonts w:ascii="Tahoma" w:hAnsi="Tahoma"/>
      <w:sz w:val="16"/>
      <w:szCs w:val="16"/>
    </w:rPr>
  </w:style>
  <w:style w:type="paragraph" w:customStyle="1" w:styleId="StGen49">
    <w:name w:val="StGen49"/>
    <w:basedOn w:val="Normale"/>
  </w:style>
  <w:style w:type="paragraph" w:customStyle="1" w:styleId="StGen50">
    <w:name w:val="StGen50"/>
    <w:basedOn w:val="StGen49"/>
    <w:next w:val="StGen49"/>
  </w:style>
  <w:style w:type="paragraph" w:customStyle="1" w:styleId="StGen51">
    <w:name w:val="StGen51"/>
    <w:basedOn w:val="Normale"/>
    <w:pPr>
      <w:spacing w:before="280" w:after="280"/>
    </w:pPr>
  </w:style>
  <w:style w:type="character" w:styleId="Menzionenonrisolta">
    <w:name w:val="Unresolved Mention"/>
    <w:basedOn w:val="Carpredefinitoparagrafo"/>
    <w:uiPriority w:val="99"/>
    <w:semiHidden/>
    <w:unhideWhenUsed/>
    <w:rsid w:val="00795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alzan.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Props1.xml><?xml version="1.0" encoding="utf-8"?>
<ds:datastoreItem xmlns:ds="http://schemas.openxmlformats.org/officeDocument/2006/customXml" ds:itemID="{1371FF7D-392C-4D84-97BE-A8C9C976F148}">
  <ds:schemaRefs>
    <ds:schemaRef ds:uri="http://schemas.microsoft.com/sharepoint/v3/contenttype/forms"/>
  </ds:schemaRefs>
</ds:datastoreItem>
</file>

<file path=customXml/itemProps2.xml><?xml version="1.0" encoding="utf-8"?>
<ds:datastoreItem xmlns:ds="http://schemas.openxmlformats.org/officeDocument/2006/customXml" ds:itemID="{45D2BED2-509B-45E5-9007-A9532CA15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1B9B4-3104-4910-A08B-9BB0F972A979}">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676</Words>
  <Characters>3859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czdanski</dc:creator>
  <cp:lastModifiedBy>Marcello Foresti</cp:lastModifiedBy>
  <cp:revision>10</cp:revision>
  <dcterms:created xsi:type="dcterms:W3CDTF">2024-11-11T09:22:00Z</dcterms:created>
  <dcterms:modified xsi:type="dcterms:W3CDTF">2024-11-18T14:23:00Z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